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3B9D30C" w:rsidP="797A577E" w:rsidRDefault="33B9D30C" w14:paraId="6923B10B" w14:textId="4432B200">
      <w:pPr>
        <w:pStyle w:val="Normal"/>
        <w:spacing w:before="40" w:after="0" w:line="259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6"/>
          <w:szCs w:val="26"/>
          <w:lang w:val="de-DE"/>
        </w:rPr>
        <w:t>Steckbrief</w:t>
      </w:r>
      <w:r w:rsidRPr="797A577E" w:rsidR="62F0ED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6"/>
          <w:szCs w:val="26"/>
          <w:lang w:val="de-DE"/>
        </w:rPr>
        <w:t xml:space="preserve"> </w:t>
      </w:r>
      <w:r w:rsidRPr="797A577E" w:rsidR="62F0ED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de-DE"/>
        </w:rPr>
        <w:t>,,Goldene</w:t>
      </w:r>
      <w:r w:rsidRPr="797A577E" w:rsidR="62F0ED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6"/>
          <w:szCs w:val="26"/>
          <w:lang w:val="de-DE"/>
        </w:rPr>
        <w:t xml:space="preserve"> Pforte’’ des Freiberger Domes</w:t>
      </w:r>
    </w:p>
    <w:p w:rsidR="6AB710EA" w:rsidP="33B9D30C" w:rsidRDefault="6AB710EA" w14:paraId="6497B0C3" w14:textId="6505C4F6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33B9D30C" w:rsidRDefault="6AB710EA" w14:paraId="385A4BCA" w14:textId="0DA98C95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Ort in der Kirche</w:t>
      </w:r>
    </w:p>
    <w:p w:rsidR="796FC18C" w:rsidP="33B9D30C" w:rsidRDefault="796FC18C" w14:paraId="3DC7D644" w14:textId="0318BDFA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de-DE"/>
        </w:rPr>
      </w:pPr>
      <w:r w:rsidRPr="33B9D30C" w:rsidR="796FC18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Südportal des gotischen Domes (</w:t>
      </w:r>
      <w:r w:rsidRPr="33B9D30C" w:rsidR="796FC18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Eingehaust)</w:t>
      </w:r>
    </w:p>
    <w:p w:rsidR="6AB710EA" w:rsidP="33B9D30C" w:rsidRDefault="6AB710EA" w14:paraId="00E5315F" w14:textId="7D0C1E3D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33B9D30C" w:rsidRDefault="6AB710EA" w14:paraId="466DE59B" w14:textId="76B95A48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Material</w:t>
      </w:r>
    </w:p>
    <w:p w:rsidR="10432E27" w:rsidP="33B9D30C" w:rsidRDefault="10432E27" w14:paraId="168B8603" w14:textId="5AF560F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de-DE"/>
        </w:rPr>
      </w:pPr>
      <w:r w:rsidRPr="33B9D30C" w:rsidR="10432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de-DE"/>
        </w:rPr>
        <w:t xml:space="preserve">Grillenburger Dünensandstein der </w:t>
      </w:r>
      <w:proofErr w:type="spellStart"/>
      <w:r w:rsidRPr="33B9D30C" w:rsidR="10432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de-DE"/>
        </w:rPr>
        <w:t>Niederschönaer</w:t>
      </w:r>
      <w:proofErr w:type="spellEnd"/>
      <w:r w:rsidRPr="33B9D30C" w:rsidR="10432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de-DE"/>
        </w:rPr>
        <w:t xml:space="preserve"> Schichten aus dem Tharandter Wald</w:t>
      </w:r>
    </w:p>
    <w:p w:rsidR="6AB710EA" w:rsidP="33B9D30C" w:rsidRDefault="6AB710EA" w14:paraId="3BA1C760" w14:textId="64E68B6D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3AD29942" w14:textId="498D5264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Datierung, Grundlage der Datierung</w:t>
      </w:r>
    </w:p>
    <w:p w:rsidR="49C6F769" w:rsidP="797A577E" w:rsidRDefault="49C6F769" w14:paraId="14352819" w14:textId="2836A5BC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 w:themeColor="text1" w:themeTint="FF" w:themeShade="FF"/>
          <w:sz w:val="24"/>
          <w:szCs w:val="24"/>
          <w:lang w:val="de-DE"/>
        </w:rPr>
      </w:pPr>
      <w:r w:rsidRPr="797A577E" w:rsidR="14A6A41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Vor </w:t>
      </w:r>
      <w:r w:rsidRPr="797A577E" w:rsidR="49C6F76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1225</w:t>
      </w:r>
      <w:r w:rsidRPr="797A577E" w:rsidR="47A98F2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</w:t>
      </w:r>
      <w:r w:rsidRPr="797A577E" w:rsidR="2B83C12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- durch stilistische Einordnung (</w:t>
      </w:r>
      <w:proofErr w:type="spellStart"/>
      <w:r w:rsidRPr="797A577E" w:rsidR="2B83C12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Hörsch</w:t>
      </w:r>
      <w:proofErr w:type="spellEnd"/>
      <w:r w:rsidRPr="797A577E" w:rsidR="4785A58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, bezugnehmend auf </w:t>
      </w:r>
      <w:proofErr w:type="spellStart"/>
      <w:r w:rsidRPr="797A577E" w:rsidR="4785A58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Magirius</w:t>
      </w:r>
      <w:proofErr w:type="spellEnd"/>
      <w:r w:rsidRPr="797A577E" w:rsidR="2B83C12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)</w:t>
      </w:r>
      <w:r w:rsidRPr="797A577E" w:rsidR="63BC805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: Ähnlichkeiten zum Regensburger Schottenportal (zw. 1150er und 1180er Jahre)</w:t>
      </w:r>
      <w:r w:rsidRPr="797A577E" w:rsidR="78DC6AE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; Parallelen zur Leipziger Nikolaikirche, die vermutlich bereits um 1165 entstand (Magirius</w:t>
      </w:r>
      <w:r w:rsidRPr="797A577E" w:rsidR="3493810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1991</w:t>
      </w:r>
      <w:r w:rsidRPr="797A577E" w:rsidR="78DC6AE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)</w:t>
      </w:r>
    </w:p>
    <w:p w:rsidR="5C01B4CE" w:rsidP="33B9D30C" w:rsidRDefault="5C01B4CE" w14:paraId="125D711A" w14:textId="4112B03B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5C01B4C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Um 1230</w:t>
      </w:r>
      <w:r w:rsidRPr="797A577E" w:rsidR="67E8221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</w:t>
      </w:r>
      <w:r w:rsidRPr="797A577E" w:rsidR="66C8508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(</w:t>
      </w:r>
      <w:proofErr w:type="spellStart"/>
      <w:r w:rsidRPr="797A577E" w:rsidR="66C8508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Magirius</w:t>
      </w:r>
      <w:proofErr w:type="spellEnd"/>
      <w:r w:rsidRPr="797A577E" w:rsidR="473D8F5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1967</w:t>
      </w:r>
      <w:r w:rsidRPr="797A577E" w:rsidR="66C85085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)</w:t>
      </w:r>
    </w:p>
    <w:p w:rsidR="6AB710EA" w:rsidP="33B9D30C" w:rsidRDefault="6AB710EA" w14:paraId="5F607FDF" w14:textId="12F885AB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48B69C00" w14:textId="34945A0E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Struktur</w:t>
      </w:r>
    </w:p>
    <w:p w:rsidR="53AA5DAA" w:rsidP="797A577E" w:rsidRDefault="53AA5DAA" w14:paraId="40844771" w14:textId="06518BC9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53AA5DA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r</w:t>
      </w:r>
      <w:r w:rsidRPr="797A577E" w:rsidR="74575C4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undbogiges T</w:t>
      </w:r>
      <w:r w:rsidRPr="797A577E" w:rsidR="532755D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richterportal</w:t>
      </w:r>
    </w:p>
    <w:p w:rsidR="48A491CB" w:rsidP="797A577E" w:rsidRDefault="48A491CB" w14:paraId="29FF552A" w14:textId="7EA38EF5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de-DE"/>
        </w:rPr>
      </w:pPr>
      <w:r w:rsidRPr="797A577E" w:rsidR="48A491C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Ornament</w:t>
      </w:r>
      <w:r w:rsidRPr="797A577E" w:rsidR="45217B1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-</w:t>
      </w:r>
      <w:r w:rsidRPr="797A577E" w:rsidR="48A491C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und Figurenschmuck an Gewände und Archivolten</w:t>
      </w:r>
    </w:p>
    <w:p w:rsidR="125E3C32" w:rsidP="797A577E" w:rsidRDefault="125E3C32" w14:paraId="5FE14FC0" w14:textId="4614057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125E3C3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starke Betonung der Kämpferzone</w:t>
      </w:r>
    </w:p>
    <w:p w:rsidR="01B5DE34" w:rsidP="797A577E" w:rsidRDefault="01B5DE34" w14:paraId="02F3224E" w14:textId="20446EFE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de-DE"/>
        </w:rPr>
      </w:pPr>
      <w:r w:rsidRPr="797A577E" w:rsidR="01B5DE3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h</w:t>
      </w:r>
      <w:r w:rsidRPr="797A577E" w:rsidR="4ED237D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albrundes Tympanon über geradem Türsturz</w:t>
      </w:r>
    </w:p>
    <w:p w:rsidR="15A18B6E" w:rsidP="797A577E" w:rsidRDefault="15A18B6E" w14:paraId="5E8AC36F" w14:textId="6FA0FD2B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de-DE"/>
        </w:rPr>
      </w:pPr>
      <w:r w:rsidRPr="797A577E" w:rsidR="15A18B6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Besonderheit: leichter Spitzbogen </w:t>
      </w:r>
      <w:r w:rsidRPr="797A577E" w:rsidR="0C8CA98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im Tympanon, zunehmende Annäherung an Halbrund von innerer zu äußerer Archivolte</w:t>
      </w:r>
      <w:r w:rsidRPr="797A577E" w:rsidR="241C52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(vgl. Magirius)</w:t>
      </w:r>
    </w:p>
    <w:p w:rsidR="6AB710EA" w:rsidP="33B9D30C" w:rsidRDefault="6AB710EA" w14:paraId="5CE3CDE3" w14:textId="53F7E79F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66011DC4" w14:textId="2076F46E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Ikonographie, wo?</w:t>
      </w:r>
    </w:p>
    <w:p w:rsidR="0999DCB8" w:rsidP="33B9D30C" w:rsidRDefault="0999DCB8" w14:paraId="07187E19" w14:textId="10EA1A3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0999DCB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Gewände: </w:t>
      </w:r>
      <w:r w:rsidRPr="797A577E" w:rsidR="7A49D65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Je vier </w:t>
      </w:r>
      <w:r w:rsidRPr="797A577E" w:rsidR="0999DCB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Alttestamentarische </w:t>
      </w:r>
      <w:r w:rsidRPr="797A577E" w:rsidR="1E0CD92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Herrscher und Herrscherinnen</w:t>
      </w:r>
      <w:r w:rsidRPr="797A577E" w:rsidR="12C539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(Johannes B. + Johannes E., </w:t>
      </w:r>
      <w:r w:rsidRPr="797A577E" w:rsidR="483B757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König Salomo + König David, Königin von Saba + Königin Bathseba, </w:t>
      </w:r>
      <w:r w:rsidRPr="797A577E" w:rsidR="4E85612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Daniel</w:t>
      </w:r>
      <w:r w:rsidRPr="797A577E" w:rsidR="79DF714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(Prophet)</w:t>
      </w:r>
      <w:r w:rsidRPr="797A577E" w:rsidR="4E85612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+ Aaron</w:t>
      </w:r>
      <w:r w:rsidRPr="797A577E" w:rsidR="22BC6C6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(Bruder Mose, erster Hohepriester</w:t>
      </w:r>
      <w:r w:rsidRPr="797A577E" w:rsidR="4E85612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)</w:t>
      </w:r>
    </w:p>
    <w:p w:rsidR="0999DCB8" w:rsidP="33B9D30C" w:rsidRDefault="0999DCB8" w14:paraId="7EE1D2F1" w14:textId="6EA348D4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0999DCB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Tympanon: Thronende Madonna mit Kind (</w:t>
      </w:r>
      <w:proofErr w:type="spellStart"/>
      <w:r w:rsidRPr="33B9D30C" w:rsidR="7E9D154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Sedes</w:t>
      </w:r>
      <w:proofErr w:type="spellEnd"/>
      <w:r w:rsidRPr="33B9D30C" w:rsidR="7E9D154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  <w:proofErr w:type="spellStart"/>
      <w:r w:rsidRPr="33B9D30C" w:rsidR="7E9D154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Sapientiae</w:t>
      </w:r>
      <w:proofErr w:type="spellEnd"/>
      <w:r w:rsidRPr="33B9D30C" w:rsidR="7E9D154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) mit Anbetung der Könige, Josef und Engel</w:t>
      </w:r>
    </w:p>
    <w:p w:rsidR="0999DCB8" w:rsidP="33B9D30C" w:rsidRDefault="0999DCB8" w14:paraId="3BC237FA" w14:textId="040D570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0999DCB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Archivolten:</w:t>
      </w:r>
      <w:r w:rsidRPr="33B9D30C" w:rsidR="3A8A71C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  <w:r w:rsidRPr="33B9D30C" w:rsidR="54F349C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Marienkrönung und </w:t>
      </w:r>
      <w:r w:rsidRPr="33B9D30C" w:rsidR="3A8A71C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Szenen des Jüngsten Gerichts (</w:t>
      </w:r>
      <w:r w:rsidRPr="33B9D30C" w:rsidR="501ED62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Buch des Lebens, Verbringen einer Seele in Abrahams Schoß, </w:t>
      </w:r>
      <w:r w:rsidRPr="33B9D30C" w:rsidR="3A8A71C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Auferstehung der Toten)</w:t>
      </w:r>
    </w:p>
    <w:p w:rsidR="6AB710EA" w:rsidP="33B9D30C" w:rsidRDefault="6AB710EA" w14:paraId="062EFC42" w14:textId="1EBB00AA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1E096514" w14:textId="70C54B29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Versetzungen, Restaurierungen</w:t>
      </w:r>
    </w:p>
    <w:p w:rsidR="689CC292" w:rsidP="33B9D30C" w:rsidRDefault="689CC292" w14:paraId="3BD453F2" w14:textId="3D4C990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689CC29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Wohl ursprünglich Westportal des 1484 bei einem Brand zerstörten</w:t>
      </w:r>
      <w:r w:rsidRPr="797A577E" w:rsidR="15331F2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, romanischen</w:t>
      </w:r>
      <w:r w:rsidRPr="797A577E" w:rsidR="689CC29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Vorgängerbaues (</w:t>
      </w:r>
      <w:proofErr w:type="spellStart"/>
      <w:r w:rsidRPr="797A577E" w:rsidR="689CC29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Magirius</w:t>
      </w:r>
      <w:proofErr w:type="spellEnd"/>
      <w:r w:rsidRPr="797A577E" w:rsidR="689CC29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)</w:t>
      </w:r>
      <w:r w:rsidRPr="797A577E" w:rsidR="4B805E81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, ersetzt an heutigem Standort</w:t>
      </w:r>
      <w:r w:rsidRPr="797A577E" w:rsidR="347FFA6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eine ältere Tür</w:t>
      </w:r>
    </w:p>
    <w:p w:rsidR="689CC292" w:rsidP="797A577E" w:rsidRDefault="689CC292" w14:paraId="21C38F4D" w14:textId="265890B0">
      <w:pPr>
        <w:pStyle w:val="ListParagraph"/>
        <w:numPr>
          <w:ilvl w:val="0"/>
          <w:numId w:val="4"/>
        </w:numPr>
        <w:rPr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6D8E8BE4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vor Neubau der gotischen Halle </w:t>
      </w:r>
      <w:r w:rsidRPr="797A577E" w:rsidR="1B35AE6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am jetzigen Standort </w:t>
      </w:r>
      <w:r w:rsidRPr="797A577E" w:rsidR="32FF4EB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wiederaufgerichtet</w:t>
      </w:r>
    </w:p>
    <w:p w:rsidR="76B99C60" w:rsidP="797A577E" w:rsidRDefault="76B99C60" w14:paraId="71DCA9F9" w14:textId="2B41D05C">
      <w:pPr>
        <w:pStyle w:val="ListParagraph"/>
        <w:numPr>
          <w:ilvl w:val="0"/>
          <w:numId w:val="4"/>
        </w:numPr>
        <w:rPr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76B99C6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Verschiedene Bauteile im 19. JH ergänzt/ersetzt (Hütter)</w:t>
      </w:r>
      <w:r w:rsidRPr="797A577E" w:rsidR="2A256E2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, Abbruch spätmittelalterlicher Schutzbau</w:t>
      </w:r>
    </w:p>
    <w:p w:rsidR="2A256E20" w:rsidP="797A577E" w:rsidRDefault="2A256E20" w14:paraId="04CDBF5A" w14:textId="70B1B052">
      <w:pPr>
        <w:pStyle w:val="ListParagraph"/>
        <w:numPr>
          <w:ilvl w:val="0"/>
          <w:numId w:val="4"/>
        </w:numPr>
        <w:rPr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2A256E2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Figuren im Blattfries und Gewände im 19. Ausgebaut, heute wieder eingebaut</w:t>
      </w:r>
    </w:p>
    <w:p w:rsidR="689CC292" w:rsidP="33B9D30C" w:rsidRDefault="689CC292" w14:paraId="0B9533A9" w14:textId="0FEE938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689CC29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seit 1902/03 durch einen Jugendstilvorbau eingehaust</w:t>
      </w:r>
    </w:p>
    <w:p w:rsidR="5CCCAB4F" w:rsidP="797A577E" w:rsidRDefault="5CCCAB4F" w14:paraId="3FD715B4" w14:textId="0F51B2A2">
      <w:pPr>
        <w:pStyle w:val="ListParagraph"/>
        <w:numPr>
          <w:ilvl w:val="0"/>
          <w:numId w:val="4"/>
        </w:numPr>
        <w:rPr>
          <w:noProof w:val="0"/>
          <w:color w:val="000000" w:themeColor="text1" w:themeTint="FF" w:themeShade="FF"/>
          <w:sz w:val="24"/>
          <w:szCs w:val="24"/>
          <w:lang w:val="de-DE"/>
        </w:rPr>
      </w:pPr>
      <w:r w:rsidRPr="797A577E" w:rsidR="5CCCAB4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>Untersuchung der ursprünglichen Bemalung bei Gesamtrestaurierung des Domes 1958 bis 1965 (Hütter)</w:t>
      </w:r>
      <w:r w:rsidRPr="797A577E" w:rsidR="356D34E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de-DE"/>
        </w:rPr>
        <w:t xml:space="preserve"> (Wiedereinsetzen der mittelalterlichen Figuren)</w:t>
      </w:r>
    </w:p>
    <w:p w:rsidR="6AB710EA" w:rsidP="33B9D30C" w:rsidRDefault="6AB710EA" w14:paraId="55D3CC13" w14:textId="4749C3DB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4BEC825C" w14:textId="73BE61CC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Stilistischer Zusammenhang</w:t>
      </w:r>
    </w:p>
    <w:p w:rsidR="08F3AE97" w:rsidP="797A577E" w:rsidRDefault="08F3AE97" w14:paraId="00E7EE79" w14:textId="7F59F00F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de-DE"/>
        </w:rPr>
      </w:pPr>
      <w:r w:rsidRPr="797A577E" w:rsidR="08F3AE97">
        <w:rPr>
          <w:noProof w:val="0"/>
          <w:lang w:val="de-DE"/>
        </w:rPr>
        <w:t>Romanisch</w:t>
      </w:r>
    </w:p>
    <w:p w:rsidR="08D06871" w:rsidP="797A577E" w:rsidRDefault="08D06871" w14:paraId="2B6A9BA1" w14:textId="5142A0AC">
      <w:pPr>
        <w:pStyle w:val="ListParagraph"/>
        <w:numPr>
          <w:ilvl w:val="0"/>
          <w:numId w:val="10"/>
        </w:numPr>
        <w:rPr>
          <w:noProof w:val="0"/>
          <w:sz w:val="22"/>
          <w:szCs w:val="22"/>
          <w:lang w:val="de-DE"/>
        </w:rPr>
      </w:pPr>
      <w:r w:rsidRPr="797A577E" w:rsidR="08D06871">
        <w:rPr>
          <w:noProof w:val="0"/>
          <w:lang w:val="de-DE"/>
        </w:rPr>
        <w:t>Nähe zu Magdeburg Goldschmidt Portal? (Goldschmidt)</w:t>
      </w:r>
    </w:p>
    <w:p w:rsidR="6AB710EA" w:rsidP="33B9D30C" w:rsidRDefault="6AB710EA" w14:paraId="0192C3A1" w14:textId="44F256FE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13EC3B37" w14:textId="367C95A9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Polychromie</w:t>
      </w:r>
    </w:p>
    <w:p w:rsidR="051F113D" w:rsidP="33B9D30C" w:rsidRDefault="051F113D" w14:paraId="0469BE6B" w14:textId="62A442FB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051F113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Ursprünglich farbig gefasst</w:t>
      </w:r>
    </w:p>
    <w:p w:rsidR="75D5E2DD" w:rsidP="797A577E" w:rsidRDefault="75D5E2DD" w14:paraId="5AF5C3D5" w14:textId="40196F00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de-DE"/>
        </w:rPr>
      </w:pPr>
      <w:r w:rsidRPr="797A577E" w:rsidR="75D5E2D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Gold, Rot, Blau (dominierend) ergänzt durch Grün, Weiß (Hütter)</w:t>
      </w:r>
    </w:p>
    <w:p w:rsidR="20AA5089" w:rsidP="797A577E" w:rsidRDefault="20AA5089" w14:paraId="3FB4A7D4" w14:textId="5912D285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de-DE"/>
        </w:rPr>
      </w:pPr>
      <w:r w:rsidRPr="797A577E" w:rsidR="20AA508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Besonders strahlende Farbigkeit am Tympanon</w:t>
      </w:r>
    </w:p>
    <w:p w:rsidR="6AB710EA" w:rsidP="33B9D30C" w:rsidRDefault="6AB710EA" w14:paraId="32CE815B" w14:textId="68C1DA95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33B9D30C" w:rsidR="6AB710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</w:p>
    <w:p w:rsidR="6AB710EA" w:rsidP="797A577E" w:rsidRDefault="6AB710EA" w14:paraId="4618BCD3" w14:textId="6A157364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</w:pPr>
      <w:r w:rsidRPr="797A577E" w:rsidR="6AB710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1F4D78"/>
          <w:sz w:val="24"/>
          <w:szCs w:val="24"/>
          <w:lang w:val="de-DE"/>
        </w:rPr>
        <w:t>Literatur</w:t>
      </w:r>
    </w:p>
    <w:p w:rsidR="573A3F44" w:rsidP="797A577E" w:rsidRDefault="573A3F44" w14:paraId="43575B94" w14:textId="281BA822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573A3F4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Fischer, O.: Die goldene Pforte zu Freiberg, in: Repertorium für Kunstwissen</w:t>
      </w:r>
      <w:r w:rsidRPr="797A577E" w:rsidR="4AAB2E3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schaft, Bd. 9, </w:t>
      </w:r>
      <w:r w:rsidRPr="797A577E" w:rsidR="093771B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Berlin 1886, S. 293-306.</w:t>
      </w:r>
    </w:p>
    <w:p w:rsidR="093771B0" w:rsidP="797A577E" w:rsidRDefault="093771B0" w14:paraId="754612D7" w14:textId="653F4D54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093771B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Goldschmidt, Adolph: Die Freiberger Goldene Pforte, in: Staatliche Museen zu Berlin</w:t>
      </w:r>
      <w:r w:rsidRPr="797A577E" w:rsidR="7281D7F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- </w:t>
      </w:r>
      <w:r w:rsidRPr="797A577E" w:rsidR="093771B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Preußischer Kulturbesitz</w:t>
      </w:r>
      <w:r w:rsidRPr="797A577E" w:rsidR="05E0434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(Hrsg.): Jahrbuch der Königlich Preußischen Kunstsammlungen, Bd. 23., Berlin 1902, S. 20-33.</w:t>
      </w:r>
    </w:p>
    <w:p w:rsidR="457FF06E" w:rsidP="24DE9BA4" w:rsidRDefault="457FF06E" w14:paraId="675A21CF" w14:textId="6E8869DC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457FF06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Hellmuth, Silke: Bemerkungen zum Bildprogramm der Freiberger Goldenen Pforte, in: </w:t>
      </w:r>
      <w:r w:rsidRPr="797A577E" w:rsidR="5E27CE2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Hartmut </w:t>
      </w:r>
      <w:proofErr w:type="spellStart"/>
      <w:r w:rsidRPr="797A577E" w:rsidR="5E27CE2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Krohm</w:t>
      </w:r>
      <w:proofErr w:type="spellEnd"/>
      <w:r w:rsidRPr="797A577E" w:rsidR="5E27CE2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(Hrsg.): Meisterwerke mittelalterlicher Skulptur. Handbuch und Katalog der Ausstellung im Bode-Museum</w:t>
      </w:r>
      <w:r w:rsidRPr="797A577E" w:rsidR="5E27CE2E">
        <w:rPr>
          <w:noProof w:val="0"/>
          <w:color w:val="auto"/>
          <w:sz w:val="24"/>
          <w:szCs w:val="24"/>
          <w:u w:val="none"/>
          <w:lang w:val="de-DE"/>
        </w:rPr>
        <w:t xml:space="preserve">, Berlin, 29. Juni - 3. November 1996, </w:t>
      </w:r>
      <w:r w:rsidRPr="797A577E" w:rsidR="5E27CE2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u w:val="none"/>
          <w:lang w:val="de-DE"/>
        </w:rPr>
        <w:t>Berlin 1996, S. 139-150.</w:t>
      </w:r>
    </w:p>
    <w:p w:rsidR="73C70697" w:rsidP="33B9D30C" w:rsidRDefault="73C70697" w14:paraId="358BCCCF" w14:textId="72B8EABF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proofErr w:type="spellStart"/>
      <w:r w:rsidRPr="24DE9BA4" w:rsidR="73C706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Hörsch</w:t>
      </w:r>
      <w:proofErr w:type="spellEnd"/>
      <w:r w:rsidRPr="24DE9BA4" w:rsidR="73C706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, </w:t>
      </w:r>
      <w:r w:rsidRPr="24DE9BA4" w:rsidR="52B5579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Markus: Ein Rätselhaftes Wunder der Kunst – Fragen angesichts der </w:t>
      </w:r>
      <w:proofErr w:type="spellStart"/>
      <w:r w:rsidRPr="24DE9BA4" w:rsidR="52B5579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freiberger</w:t>
      </w:r>
      <w:proofErr w:type="spellEnd"/>
      <w:r w:rsidRPr="24DE9BA4" w:rsidR="52B5579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Goldenen Pforte, in: J. </w:t>
      </w:r>
      <w:proofErr w:type="spellStart"/>
      <w:r w:rsidRPr="24DE9BA4" w:rsidR="52B5579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Kroesen</w:t>
      </w:r>
      <w:proofErr w:type="spellEnd"/>
      <w:r w:rsidRPr="24DE9BA4" w:rsidR="52B5579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/ E. Nyborg</w:t>
      </w:r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/ M.L. Sauerberg: </w:t>
      </w:r>
      <w:proofErr w:type="spellStart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From</w:t>
      </w:r>
      <w:proofErr w:type="spellEnd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  <w:proofErr w:type="spellStart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Conservation</w:t>
      </w:r>
      <w:proofErr w:type="spellEnd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</w:t>
      </w:r>
      <w:proofErr w:type="spellStart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to</w:t>
      </w:r>
      <w:proofErr w:type="spellEnd"/>
      <w:r w:rsidRPr="24DE9BA4" w:rsidR="42DF0D0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Interpretation, Leuven / Paris / Bristol 2017, S. 23-56.</w:t>
      </w:r>
    </w:p>
    <w:p w:rsidR="7BD40D97" w:rsidP="797A577E" w:rsidRDefault="7BD40D97" w14:paraId="0391815A" w14:textId="31590088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797A577E" w:rsidR="7BD40D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Hütter, Elisabeth: Untersuchungen zur Polychromie der Goldenen Pforte am Dom zu Freiberg, in: </w:t>
      </w:r>
      <w:r w:rsidRPr="797A577E" w:rsidR="13438C1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Unbekannter Hrsg.: </w:t>
      </w:r>
      <w:r w:rsidRPr="797A577E" w:rsidR="2BCB395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Kunst des Mittelalters in Sachsen. Festschrift Wolf Schubert dargebracht zum sechzigsten Geburtstag am 28. Januar 1963</w:t>
      </w:r>
      <w:r w:rsidRPr="797A577E" w:rsidR="7BD40D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, </w:t>
      </w:r>
      <w:r w:rsidRPr="797A577E" w:rsidR="4A7FA21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1967, </w:t>
      </w:r>
      <w:r w:rsidRPr="797A577E" w:rsidR="7BD40D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S.222-235</w:t>
      </w:r>
      <w:r w:rsidRPr="797A577E" w:rsidR="7AD997D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.</w:t>
      </w:r>
    </w:p>
    <w:p w:rsidR="434198EF" w:rsidP="797A577E" w:rsidRDefault="434198EF" w14:paraId="0459C248" w14:textId="651113F9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proofErr w:type="spellStart"/>
      <w:r w:rsidRPr="797A577E" w:rsidR="434198E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Magirius</w:t>
      </w:r>
      <w:proofErr w:type="spellEnd"/>
      <w:r w:rsidRPr="797A577E" w:rsidR="434198E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, Heinrich: Die Goldene Pforte an der romanischen Marienkirche, in: Unbekannter Hrsg.: Kunst des Mittelalters in Sachsen. Festschrift Wolf Schubert dargebracht zum sechzigsten Geburtstag am 28. Januar 1963, 1967, S.222-235.</w:t>
      </w:r>
    </w:p>
    <w:p w:rsidR="5A786640" w:rsidP="797A577E" w:rsidRDefault="5A786640" w14:paraId="1FE737C7" w14:textId="7F3DC323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proofErr w:type="spellStart"/>
      <w:r w:rsidRPr="797A577E" w:rsidR="5A7866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Niehr</w:t>
      </w:r>
      <w:proofErr w:type="spellEnd"/>
      <w:r w:rsidRPr="797A577E" w:rsidR="5A7866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, Klaus: Die Freiberger Goldene Pforte: Künstlerische Leistung - technische Eigenart, in: Marburger Jahrbuch für Kunstwissenschaft, </w:t>
      </w:r>
      <w:r w:rsidRPr="797A577E" w:rsidR="6DEC4C5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Bd. 28</w:t>
      </w:r>
      <w:r w:rsidRPr="797A577E" w:rsidR="5A7866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, Marburg 2001, S. 53-82.</w:t>
      </w:r>
    </w:p>
    <w:p w:rsidR="004A6867" w:rsidP="24DE9BA4" w:rsidRDefault="004A6867" w14:paraId="7E8BB647" w14:textId="26EF24CF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</w:pPr>
      <w:r w:rsidRPr="24DE9BA4" w:rsidR="004A686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Uhlig, Franziska: Die Goldene Pforte des Freiberger Doms, in: </w:t>
      </w:r>
      <w:r w:rsidRPr="24DE9BA4" w:rsidR="46DDD9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Hartmut Krohm</w:t>
      </w:r>
      <w:r w:rsidRPr="24DE9BA4" w:rsidR="019193B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 xml:space="preserve"> (Hrsg.)</w:t>
      </w:r>
      <w:r w:rsidRPr="24DE9BA4" w:rsidR="46DDD96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: Meisterwerke mittelalterlicher Skulptur. Handbuch und Katalog der Ausstellung im B</w:t>
      </w:r>
      <w:r w:rsidRPr="24DE9BA4" w:rsidR="60F87D8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ode-Museum</w:t>
      </w:r>
      <w:r w:rsidRPr="24DE9BA4" w:rsidR="60F87D84">
        <w:rPr>
          <w:noProof w:val="0"/>
          <w:color w:val="auto"/>
          <w:sz w:val="24"/>
          <w:szCs w:val="24"/>
          <w:u w:val="none"/>
          <w:lang w:val="de-DE"/>
        </w:rPr>
        <w:t>, Berlin, 29. Juni - 3. November 1996</w:t>
      </w:r>
      <w:r w:rsidRPr="24DE9BA4" w:rsidR="23186FE9">
        <w:rPr>
          <w:noProof w:val="0"/>
          <w:color w:val="auto"/>
          <w:sz w:val="24"/>
          <w:szCs w:val="24"/>
          <w:u w:val="none"/>
          <w:lang w:val="de-DE"/>
        </w:rPr>
        <w:t>,</w:t>
      </w:r>
      <w:r w:rsidRPr="24DE9BA4" w:rsidR="60F87D84">
        <w:rPr>
          <w:noProof w:val="0"/>
          <w:color w:val="auto"/>
          <w:sz w:val="24"/>
          <w:szCs w:val="24"/>
          <w:u w:val="none"/>
          <w:lang w:val="de-DE"/>
        </w:rPr>
        <w:t xml:space="preserve"> </w:t>
      </w:r>
      <w:r w:rsidRPr="24DE9BA4" w:rsidR="46DDD96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u w:val="none"/>
          <w:lang w:val="de-DE"/>
        </w:rPr>
        <w:t>Berlin 1996</w:t>
      </w:r>
      <w:r w:rsidRPr="24DE9BA4" w:rsidR="004A686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de-DE"/>
        </w:rPr>
        <w:t>, S. 119-137.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581D8D1"/>
  <w15:docId w15:val="{8846bb9e-d3a0-4a23-88c8-6e4ef961a3b2}"/>
  <w:rsids>
    <w:rsidRoot w:val="7581D8D1"/>
    <w:rsid w:val="004A6867"/>
    <w:rsid w:val="00C68304"/>
    <w:rsid w:val="0140F500"/>
    <w:rsid w:val="019193B2"/>
    <w:rsid w:val="01B5DE34"/>
    <w:rsid w:val="0214B457"/>
    <w:rsid w:val="051F113D"/>
    <w:rsid w:val="059F81DC"/>
    <w:rsid w:val="05E0434A"/>
    <w:rsid w:val="06127273"/>
    <w:rsid w:val="07B50DEC"/>
    <w:rsid w:val="087D9EA6"/>
    <w:rsid w:val="08D06871"/>
    <w:rsid w:val="08F3AE97"/>
    <w:rsid w:val="093200A1"/>
    <w:rsid w:val="093771B0"/>
    <w:rsid w:val="093D76B8"/>
    <w:rsid w:val="0999DCB8"/>
    <w:rsid w:val="09E50B06"/>
    <w:rsid w:val="0A3FD298"/>
    <w:rsid w:val="0AB74742"/>
    <w:rsid w:val="0B063763"/>
    <w:rsid w:val="0B684CC7"/>
    <w:rsid w:val="0C8CA98C"/>
    <w:rsid w:val="0CC47D75"/>
    <w:rsid w:val="0D45389E"/>
    <w:rsid w:val="0DCFEB2F"/>
    <w:rsid w:val="0ED540E5"/>
    <w:rsid w:val="0F9C35E7"/>
    <w:rsid w:val="10432E27"/>
    <w:rsid w:val="125E3C32"/>
    <w:rsid w:val="12C53997"/>
    <w:rsid w:val="13438C19"/>
    <w:rsid w:val="141CD9CA"/>
    <w:rsid w:val="14A6A419"/>
    <w:rsid w:val="14CEC2B5"/>
    <w:rsid w:val="15331F24"/>
    <w:rsid w:val="15A18B6E"/>
    <w:rsid w:val="16C68AD4"/>
    <w:rsid w:val="199792B2"/>
    <w:rsid w:val="1B35AE66"/>
    <w:rsid w:val="1CCFA047"/>
    <w:rsid w:val="1D062BC0"/>
    <w:rsid w:val="1D64361A"/>
    <w:rsid w:val="1E0CD92C"/>
    <w:rsid w:val="1F3EAAB4"/>
    <w:rsid w:val="20AA5089"/>
    <w:rsid w:val="20D156BB"/>
    <w:rsid w:val="215B581B"/>
    <w:rsid w:val="21CAAA8D"/>
    <w:rsid w:val="22BC6C60"/>
    <w:rsid w:val="23186FE9"/>
    <w:rsid w:val="241C52E6"/>
    <w:rsid w:val="24300975"/>
    <w:rsid w:val="24DE9BA4"/>
    <w:rsid w:val="26181ED4"/>
    <w:rsid w:val="28105A11"/>
    <w:rsid w:val="281B2B32"/>
    <w:rsid w:val="297D22BA"/>
    <w:rsid w:val="2A256E20"/>
    <w:rsid w:val="2B83C12E"/>
    <w:rsid w:val="2BCB3954"/>
    <w:rsid w:val="2DF980F0"/>
    <w:rsid w:val="2EADD6E8"/>
    <w:rsid w:val="31FE1413"/>
    <w:rsid w:val="3293CFCA"/>
    <w:rsid w:val="32FF4EBF"/>
    <w:rsid w:val="3389AC01"/>
    <w:rsid w:val="33B9D30C"/>
    <w:rsid w:val="347FFA63"/>
    <w:rsid w:val="34938107"/>
    <w:rsid w:val="356D34E0"/>
    <w:rsid w:val="35C15CC6"/>
    <w:rsid w:val="36DDD565"/>
    <w:rsid w:val="3747949D"/>
    <w:rsid w:val="374812A7"/>
    <w:rsid w:val="3A8A71CF"/>
    <w:rsid w:val="3B68AB54"/>
    <w:rsid w:val="3D9016A9"/>
    <w:rsid w:val="3E33DEF8"/>
    <w:rsid w:val="3F592A75"/>
    <w:rsid w:val="406B93B6"/>
    <w:rsid w:val="41BF5DB7"/>
    <w:rsid w:val="425AD274"/>
    <w:rsid w:val="42DF0D0D"/>
    <w:rsid w:val="434198EF"/>
    <w:rsid w:val="45217B1D"/>
    <w:rsid w:val="4536F51A"/>
    <w:rsid w:val="457FF06E"/>
    <w:rsid w:val="466D1FF0"/>
    <w:rsid w:val="46DDD96F"/>
    <w:rsid w:val="473D8F52"/>
    <w:rsid w:val="4785A58B"/>
    <w:rsid w:val="47A98F2D"/>
    <w:rsid w:val="483B7577"/>
    <w:rsid w:val="48588529"/>
    <w:rsid w:val="48A491CB"/>
    <w:rsid w:val="49326EE1"/>
    <w:rsid w:val="49C6F769"/>
    <w:rsid w:val="4A361582"/>
    <w:rsid w:val="4A7FA218"/>
    <w:rsid w:val="4AAB2E31"/>
    <w:rsid w:val="4B805E81"/>
    <w:rsid w:val="4B8E5812"/>
    <w:rsid w:val="4BA94C77"/>
    <w:rsid w:val="4BF4E7E8"/>
    <w:rsid w:val="4D0DED81"/>
    <w:rsid w:val="4D74E0DE"/>
    <w:rsid w:val="4E856128"/>
    <w:rsid w:val="4ED237DE"/>
    <w:rsid w:val="4F16B53C"/>
    <w:rsid w:val="4F20F189"/>
    <w:rsid w:val="501ED621"/>
    <w:rsid w:val="525649F6"/>
    <w:rsid w:val="52B5579C"/>
    <w:rsid w:val="532755D5"/>
    <w:rsid w:val="536422DE"/>
    <w:rsid w:val="53AA5DAA"/>
    <w:rsid w:val="53C79610"/>
    <w:rsid w:val="54F349C4"/>
    <w:rsid w:val="551B6D60"/>
    <w:rsid w:val="553B03E1"/>
    <w:rsid w:val="56197CD4"/>
    <w:rsid w:val="565F4BCE"/>
    <w:rsid w:val="573A3F44"/>
    <w:rsid w:val="57824DAA"/>
    <w:rsid w:val="58891E49"/>
    <w:rsid w:val="58DB4B26"/>
    <w:rsid w:val="5A786640"/>
    <w:rsid w:val="5C01B4CE"/>
    <w:rsid w:val="5C3D0637"/>
    <w:rsid w:val="5CCCAB4F"/>
    <w:rsid w:val="5CD61D85"/>
    <w:rsid w:val="5DD13562"/>
    <w:rsid w:val="5DD6CCD5"/>
    <w:rsid w:val="5DDD77C8"/>
    <w:rsid w:val="5E27CE2E"/>
    <w:rsid w:val="5F18600A"/>
    <w:rsid w:val="5FC1A7C6"/>
    <w:rsid w:val="5FFFDD96"/>
    <w:rsid w:val="60F87D84"/>
    <w:rsid w:val="6132478E"/>
    <w:rsid w:val="62BF57A1"/>
    <w:rsid w:val="62CDB0A7"/>
    <w:rsid w:val="62F0EDB7"/>
    <w:rsid w:val="635FEAB8"/>
    <w:rsid w:val="63BC805C"/>
    <w:rsid w:val="64350E9C"/>
    <w:rsid w:val="6536F857"/>
    <w:rsid w:val="6611A7DF"/>
    <w:rsid w:val="66C85085"/>
    <w:rsid w:val="66F9358F"/>
    <w:rsid w:val="67AD63ED"/>
    <w:rsid w:val="67E82219"/>
    <w:rsid w:val="689CC292"/>
    <w:rsid w:val="69D4F154"/>
    <w:rsid w:val="6A8BD68D"/>
    <w:rsid w:val="6AB710EA"/>
    <w:rsid w:val="6D1BB783"/>
    <w:rsid w:val="6D1E548C"/>
    <w:rsid w:val="6D8E8BE4"/>
    <w:rsid w:val="6D987D45"/>
    <w:rsid w:val="6DEC4C53"/>
    <w:rsid w:val="6F6D17FB"/>
    <w:rsid w:val="6F9E6B5B"/>
    <w:rsid w:val="709E4F81"/>
    <w:rsid w:val="7281D7F0"/>
    <w:rsid w:val="72CB9D15"/>
    <w:rsid w:val="73C70697"/>
    <w:rsid w:val="74575C48"/>
    <w:rsid w:val="748662C9"/>
    <w:rsid w:val="7581D8D1"/>
    <w:rsid w:val="75D5E2DD"/>
    <w:rsid w:val="760969DE"/>
    <w:rsid w:val="76A39B84"/>
    <w:rsid w:val="76B99C60"/>
    <w:rsid w:val="76D3292E"/>
    <w:rsid w:val="78DC6AE3"/>
    <w:rsid w:val="796FC18C"/>
    <w:rsid w:val="797A577E"/>
    <w:rsid w:val="79DF7147"/>
    <w:rsid w:val="7A49D655"/>
    <w:rsid w:val="7A8742CE"/>
    <w:rsid w:val="7AD997D6"/>
    <w:rsid w:val="7B0DD7E4"/>
    <w:rsid w:val="7BD40D97"/>
    <w:rsid w:val="7C8CA09F"/>
    <w:rsid w:val="7CD79992"/>
    <w:rsid w:val="7D44F6FE"/>
    <w:rsid w:val="7E7190A3"/>
    <w:rsid w:val="7E9D154F"/>
    <w:rsid w:val="7EFAED3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9d5747d9ddb4d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2020-11-06T14:54:15.3919011Z</dcterms:created>
  <dcterms:modified xsi:type="dcterms:W3CDTF">2020-11-11T10:01:52.3357578Z</dcterms:modified>
  <dc:creator>Luisa Omonsky</dc:creator>
  <lastModifiedBy>Engel Friederike Holst</lastModifiedBy>
</coreProperties>
</file>