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8758" w14:textId="1E629E29" w:rsidR="00305BD9" w:rsidRPr="00305BD9" w:rsidRDefault="00305BD9" w:rsidP="00C96787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305BD9">
        <w:rPr>
          <w:rFonts w:asciiTheme="majorHAnsi" w:hAnsiTheme="majorHAnsi" w:cstheme="majorHAnsi"/>
          <w:b/>
          <w:bCs/>
          <w:sz w:val="24"/>
          <w:szCs w:val="24"/>
        </w:rPr>
        <w:t>Steckbrief Portal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D206D" w14:paraId="57E5F6FE" w14:textId="77777777" w:rsidTr="005D206D">
        <w:tc>
          <w:tcPr>
            <w:tcW w:w="1838" w:type="dxa"/>
          </w:tcPr>
          <w:p w14:paraId="747E110C" w14:textId="33132CEC" w:rsidR="005D206D" w:rsidRPr="00F71553" w:rsidRDefault="005D206D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24" w:type="dxa"/>
          </w:tcPr>
          <w:p w14:paraId="2360E961" w14:textId="1E6AE119" w:rsidR="005D206D" w:rsidRDefault="005D206D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Gnaden- bzw. Marienpforte</w:t>
            </w:r>
          </w:p>
        </w:tc>
      </w:tr>
      <w:tr w:rsidR="005D206D" w14:paraId="6C7F95C2" w14:textId="77777777" w:rsidTr="005D206D">
        <w:tc>
          <w:tcPr>
            <w:tcW w:w="1838" w:type="dxa"/>
          </w:tcPr>
          <w:p w14:paraId="2C41566D" w14:textId="4283FDAA" w:rsidR="005D206D" w:rsidRPr="00F71553" w:rsidRDefault="005D206D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Ort in der Kirche</w:t>
            </w:r>
          </w:p>
        </w:tc>
        <w:tc>
          <w:tcPr>
            <w:tcW w:w="7224" w:type="dxa"/>
          </w:tcPr>
          <w:p w14:paraId="619D5981" w14:textId="267BD336" w:rsidR="005D206D" w:rsidRDefault="005D206D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Ost</w:t>
            </w:r>
            <w:r w:rsidR="002F5730">
              <w:rPr>
                <w:rFonts w:cstheme="minorHAnsi"/>
                <w:sz w:val="24"/>
                <w:szCs w:val="24"/>
              </w:rPr>
              <w:t>wand</w:t>
            </w:r>
            <w:r>
              <w:rPr>
                <w:rFonts w:cstheme="minorHAnsi"/>
                <w:sz w:val="24"/>
                <w:szCs w:val="24"/>
              </w:rPr>
              <w:t xml:space="preserve"> des Nordostturms des Bamberger Doms</w:t>
            </w:r>
          </w:p>
        </w:tc>
      </w:tr>
      <w:tr w:rsidR="005D206D" w14:paraId="2BC5CEEE" w14:textId="77777777" w:rsidTr="005D206D">
        <w:tc>
          <w:tcPr>
            <w:tcW w:w="1838" w:type="dxa"/>
          </w:tcPr>
          <w:p w14:paraId="75A122E4" w14:textId="5FFE77A8" w:rsidR="005D206D" w:rsidRPr="00F71553" w:rsidRDefault="005D206D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7224" w:type="dxa"/>
          </w:tcPr>
          <w:p w14:paraId="41C488ED" w14:textId="6B4090A8" w:rsidR="005D206D" w:rsidRDefault="005D206D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Grüner Zeiler Sandstein</w:t>
            </w:r>
          </w:p>
        </w:tc>
      </w:tr>
      <w:tr w:rsidR="005D206D" w14:paraId="2443319F" w14:textId="77777777" w:rsidTr="005D206D">
        <w:tc>
          <w:tcPr>
            <w:tcW w:w="1838" w:type="dxa"/>
          </w:tcPr>
          <w:p w14:paraId="3B6B36DC" w14:textId="77777777" w:rsidR="005D206D" w:rsidRPr="00F71553" w:rsidRDefault="005D206D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Datierung</w:t>
            </w:r>
          </w:p>
          <w:p w14:paraId="5EA04A57" w14:textId="6E793821" w:rsidR="005D206D" w:rsidRPr="00F71553" w:rsidRDefault="005D206D" w:rsidP="00984AD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Grundlage der Datierung</w:t>
            </w:r>
          </w:p>
        </w:tc>
        <w:tc>
          <w:tcPr>
            <w:tcW w:w="7224" w:type="dxa"/>
          </w:tcPr>
          <w:p w14:paraId="5F73226D" w14:textId="49F7B02D" w:rsidR="005D206D" w:rsidRDefault="00F56F3B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Vermutlich 1. Jahrzehnt des 13. Jh.</w:t>
            </w:r>
          </w:p>
          <w:p w14:paraId="16C19FE9" w14:textId="7438C33A" w:rsidR="00D0470C" w:rsidRDefault="00D0470C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470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D206D" w:rsidRPr="00D0470C">
              <w:rPr>
                <w:rFonts w:cstheme="minorHAnsi"/>
                <w:sz w:val="24"/>
                <w:szCs w:val="24"/>
              </w:rPr>
              <w:t>Rekonstruktion der Baugeschichte</w:t>
            </w:r>
            <w:r w:rsidR="00F56F3B" w:rsidRPr="00D0470C">
              <w:rPr>
                <w:rFonts w:cstheme="minorHAnsi"/>
                <w:sz w:val="24"/>
                <w:szCs w:val="24"/>
              </w:rPr>
              <w:t xml:space="preserve"> (Annahme des Baubeginns kurz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56F3B" w:rsidRPr="00D0470C">
              <w:rPr>
                <w:rFonts w:cstheme="minorHAnsi"/>
                <w:sz w:val="24"/>
                <w:szCs w:val="24"/>
              </w:rPr>
              <w:t>nach dem Brand von 1185, Bau von Osten nach Westen)</w:t>
            </w:r>
          </w:p>
          <w:p w14:paraId="54CE6951" w14:textId="77777777" w:rsidR="00984ADF" w:rsidRDefault="00D0470C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69296E">
              <w:rPr>
                <w:rFonts w:cstheme="minorHAnsi"/>
                <w:sz w:val="24"/>
                <w:szCs w:val="24"/>
              </w:rPr>
              <w:t>I</w:t>
            </w:r>
            <w:r w:rsidR="00F56F3B" w:rsidRPr="00D0470C">
              <w:rPr>
                <w:rFonts w:cstheme="minorHAnsi"/>
                <w:sz w:val="24"/>
                <w:szCs w:val="24"/>
              </w:rPr>
              <w:t>konografische Beobachtungen (1200 Heiligsprechung Kunigunde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F56F3B" w:rsidRPr="00D0470C">
              <w:rPr>
                <w:rFonts w:cstheme="minorHAnsi"/>
                <w:sz w:val="24"/>
                <w:szCs w:val="24"/>
              </w:rPr>
              <w:t xml:space="preserve"> </w:t>
            </w:r>
            <w:r w:rsidR="00F56F3B" w:rsidRPr="00F56F3B">
              <w:sym w:font="Wingdings" w:char="F0E0"/>
            </w:r>
            <w:r w:rsidR="00F56F3B" w:rsidRPr="00D0470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50C931" w14:textId="6C92BFA1" w:rsidR="005D206D" w:rsidRPr="00D0470C" w:rsidRDefault="00F56F3B" w:rsidP="00C967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0470C">
              <w:rPr>
                <w:rFonts w:cstheme="minorHAnsi"/>
                <w:sz w:val="24"/>
                <w:szCs w:val="24"/>
              </w:rPr>
              <w:t>Nimbus)</w:t>
            </w:r>
            <w:r w:rsidR="00F71553">
              <w:rPr>
                <w:rFonts w:cstheme="minorHAnsi"/>
                <w:sz w:val="24"/>
                <w:szCs w:val="24"/>
              </w:rPr>
              <w:t xml:space="preserve"> und </w:t>
            </w:r>
            <w:r w:rsidR="00D0470C" w:rsidRPr="00D0470C">
              <w:rPr>
                <w:rFonts w:cstheme="minorHAnsi"/>
                <w:sz w:val="24"/>
                <w:szCs w:val="24"/>
              </w:rPr>
              <w:t>Versuch der Identifizierung der Stifterfiguren</w:t>
            </w:r>
          </w:p>
        </w:tc>
      </w:tr>
      <w:tr w:rsidR="005D206D" w14:paraId="6A606F37" w14:textId="77777777" w:rsidTr="005D206D">
        <w:tc>
          <w:tcPr>
            <w:tcW w:w="1838" w:type="dxa"/>
          </w:tcPr>
          <w:p w14:paraId="40D36BEA" w14:textId="4B53CE7E" w:rsidR="005D206D" w:rsidRPr="00F71553" w:rsidRDefault="00F56F3B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Struktur</w:t>
            </w:r>
          </w:p>
        </w:tc>
        <w:tc>
          <w:tcPr>
            <w:tcW w:w="7224" w:type="dxa"/>
          </w:tcPr>
          <w:p w14:paraId="6A6A4B4E" w14:textId="658E7A5B" w:rsidR="00E64514" w:rsidRPr="00F84B4A" w:rsidRDefault="00E64514" w:rsidP="00C96787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F84B4A">
              <w:rPr>
                <w:rFonts w:cstheme="minorHAnsi"/>
                <w:sz w:val="24"/>
                <w:szCs w:val="24"/>
                <w:u w:val="single"/>
              </w:rPr>
              <w:t>Gewände</w:t>
            </w:r>
          </w:p>
          <w:p w14:paraId="4631A7E0" w14:textId="15785C10" w:rsidR="005D206D" w:rsidRDefault="00E64514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Sockel-, Plinthen- und attische Basiszone</w:t>
            </w:r>
          </w:p>
          <w:p w14:paraId="75FC4813" w14:textId="3A50DEBE" w:rsidR="00E64514" w:rsidRDefault="00E64514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Türpfosten (glatt) und vier Gewändestufen (profiliert), in deren Rücksprünge insgesamt vier Säulen eingestellt sind (</w:t>
            </w:r>
            <w:r w:rsidR="000A183E">
              <w:rPr>
                <w:rFonts w:cstheme="minorHAnsi"/>
                <w:sz w:val="24"/>
                <w:szCs w:val="24"/>
              </w:rPr>
              <w:t>2x</w:t>
            </w:r>
            <w:r>
              <w:rPr>
                <w:rFonts w:cstheme="minorHAnsi"/>
                <w:sz w:val="24"/>
                <w:szCs w:val="24"/>
              </w:rPr>
              <w:t xml:space="preserve"> glatt, </w:t>
            </w:r>
            <w:r w:rsidR="000A183E">
              <w:rPr>
                <w:rFonts w:cstheme="minorHAnsi"/>
                <w:sz w:val="24"/>
                <w:szCs w:val="24"/>
              </w:rPr>
              <w:t xml:space="preserve">1x </w:t>
            </w:r>
            <w:r w:rsidR="00D26015">
              <w:rPr>
                <w:rFonts w:cstheme="minorHAnsi"/>
                <w:sz w:val="24"/>
                <w:szCs w:val="24"/>
              </w:rPr>
              <w:t>kanneliert</w:t>
            </w:r>
            <w:r w:rsidR="000A183E">
              <w:rPr>
                <w:rFonts w:cstheme="minorHAnsi"/>
                <w:sz w:val="24"/>
                <w:szCs w:val="24"/>
              </w:rPr>
              <w:t>, 1x Fischgrätenmuster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2012CC1B" w14:textId="2F1E4C49" w:rsidR="00984ADF" w:rsidRDefault="00E64514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Kapitell- und Kämpferzone (plastisch ausgearbeitet</w:t>
            </w:r>
            <w:r w:rsidR="00621214">
              <w:rPr>
                <w:rFonts w:cstheme="minorHAnsi"/>
                <w:sz w:val="24"/>
                <w:szCs w:val="24"/>
              </w:rPr>
              <w:t xml:space="preserve"> und jeweils band</w:t>
            </w:r>
            <w:r w:rsidR="00EA5A5B">
              <w:rPr>
                <w:rFonts w:cstheme="minorHAnsi"/>
                <w:sz w:val="24"/>
                <w:szCs w:val="24"/>
              </w:rPr>
              <w:t>-</w:t>
            </w:r>
          </w:p>
          <w:p w14:paraId="2D526F67" w14:textId="0C51255B" w:rsidR="00E64514" w:rsidRDefault="00621214" w:rsidP="00C967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artig miteinander verbunden</w:t>
            </w:r>
            <w:r w:rsidR="00E64514">
              <w:rPr>
                <w:rFonts w:cstheme="minorHAnsi"/>
                <w:sz w:val="24"/>
                <w:szCs w:val="24"/>
              </w:rPr>
              <w:t>)</w:t>
            </w:r>
          </w:p>
          <w:p w14:paraId="7540B0C4" w14:textId="34E5205F" w:rsidR="00E64514" w:rsidRPr="00F84B4A" w:rsidRDefault="00621214" w:rsidP="00C96787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F84B4A">
              <w:rPr>
                <w:rFonts w:cstheme="minorHAnsi"/>
                <w:sz w:val="24"/>
                <w:szCs w:val="24"/>
                <w:u w:val="single"/>
              </w:rPr>
              <w:t>Archivolten</w:t>
            </w:r>
          </w:p>
          <w:p w14:paraId="5517BD78" w14:textId="69177E4B" w:rsidR="00621214" w:rsidRDefault="00621214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D26015">
              <w:rPr>
                <w:rFonts w:cstheme="minorHAnsi"/>
                <w:sz w:val="24"/>
                <w:szCs w:val="24"/>
              </w:rPr>
              <w:t>Fortführung der Gestaltung der Gewändestufen und Säulen</w:t>
            </w:r>
          </w:p>
          <w:p w14:paraId="2C81E0AF" w14:textId="0F8CC8C8" w:rsidR="00D26015" w:rsidRDefault="00D26015" w:rsidP="00C967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Rosetten aus Blei an den beiden mittleren runden Archivoltenb</w:t>
            </w:r>
            <w:r w:rsidR="00EA5A5B">
              <w:rPr>
                <w:rFonts w:cstheme="minorHAnsi"/>
                <w:sz w:val="24"/>
                <w:szCs w:val="24"/>
              </w:rPr>
              <w:t>ö</w:t>
            </w:r>
            <w:r>
              <w:rPr>
                <w:rFonts w:cstheme="minorHAnsi"/>
                <w:sz w:val="24"/>
                <w:szCs w:val="24"/>
              </w:rPr>
              <w:t>gen</w:t>
            </w:r>
          </w:p>
          <w:p w14:paraId="09DFD0F8" w14:textId="3CC1F5EA" w:rsidR="00A653BD" w:rsidRPr="00A653BD" w:rsidRDefault="00A653BD" w:rsidP="00D26015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653BD">
              <w:rPr>
                <w:rFonts w:cstheme="minorHAnsi"/>
                <w:sz w:val="24"/>
                <w:szCs w:val="24"/>
              </w:rPr>
              <w:t xml:space="preserve">Figürliches </w:t>
            </w:r>
            <w:r w:rsidR="00E64514" w:rsidRPr="00A653BD">
              <w:rPr>
                <w:rFonts w:cstheme="minorHAnsi"/>
                <w:sz w:val="24"/>
                <w:szCs w:val="24"/>
                <w:u w:val="single"/>
              </w:rPr>
              <w:t>Tympanon</w:t>
            </w:r>
          </w:p>
        </w:tc>
      </w:tr>
      <w:tr w:rsidR="005D206D" w14:paraId="2F8E53EA" w14:textId="77777777" w:rsidTr="005D206D">
        <w:tc>
          <w:tcPr>
            <w:tcW w:w="1838" w:type="dxa"/>
          </w:tcPr>
          <w:p w14:paraId="109788DE" w14:textId="48AEEF07" w:rsidR="005D206D" w:rsidRPr="00F71553" w:rsidRDefault="00A653BD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Ikonografie</w:t>
            </w:r>
          </w:p>
        </w:tc>
        <w:tc>
          <w:tcPr>
            <w:tcW w:w="7224" w:type="dxa"/>
          </w:tcPr>
          <w:p w14:paraId="4A7EB714" w14:textId="7B8811E6" w:rsidR="005D206D" w:rsidRDefault="000A183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183E">
              <w:rPr>
                <w:rFonts w:cstheme="minorHAnsi"/>
                <w:sz w:val="24"/>
                <w:szCs w:val="24"/>
                <w:u w:val="single"/>
              </w:rPr>
              <w:t>Tympanon</w:t>
            </w:r>
            <w:r>
              <w:rPr>
                <w:rFonts w:cstheme="minorHAnsi"/>
                <w:sz w:val="24"/>
                <w:szCs w:val="24"/>
              </w:rPr>
              <w:t xml:space="preserve"> (von links nach rechts)</w:t>
            </w:r>
          </w:p>
          <w:p w14:paraId="000CEE58" w14:textId="26FF6A2A" w:rsidR="00C96787" w:rsidRDefault="000A183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Bischof (Stifterfigur), Hl. Georg, Hl. Petrus, thronende Maria mit dem Christuskind</w:t>
            </w:r>
            <w:r w:rsidR="0069296E">
              <w:rPr>
                <w:rFonts w:cstheme="minorHAnsi"/>
                <w:sz w:val="24"/>
                <w:szCs w:val="24"/>
              </w:rPr>
              <w:t xml:space="preserve"> </w:t>
            </w:r>
            <w:r w:rsidR="00F71553">
              <w:rPr>
                <w:rFonts w:cstheme="minorHAnsi"/>
                <w:sz w:val="24"/>
                <w:szCs w:val="24"/>
              </w:rPr>
              <w:t>im</w:t>
            </w:r>
            <w:r w:rsidR="0069296E">
              <w:rPr>
                <w:rFonts w:cstheme="minorHAnsi"/>
                <w:sz w:val="24"/>
                <w:szCs w:val="24"/>
              </w:rPr>
              <w:t xml:space="preserve"> linken </w:t>
            </w:r>
            <w:r w:rsidR="00F71553">
              <w:rPr>
                <w:rFonts w:cstheme="minorHAnsi"/>
                <w:sz w:val="24"/>
                <w:szCs w:val="24"/>
              </w:rPr>
              <w:t>Arm</w:t>
            </w:r>
            <w:r w:rsidR="0069296E">
              <w:rPr>
                <w:rFonts w:cstheme="minorHAnsi"/>
                <w:sz w:val="24"/>
                <w:szCs w:val="24"/>
              </w:rPr>
              <w:t xml:space="preserve"> bzw.</w:t>
            </w:r>
            <w:r>
              <w:rPr>
                <w:rFonts w:cstheme="minorHAnsi"/>
                <w:sz w:val="24"/>
                <w:szCs w:val="24"/>
              </w:rPr>
              <w:t xml:space="preserve"> auf dem Schoß (zu ihren Füßen ein Mitglied des Deutschen Ordens</w:t>
            </w:r>
            <w:r w:rsidR="0069296E">
              <w:rPr>
                <w:rFonts w:cstheme="minorHAnsi"/>
                <w:sz w:val="24"/>
                <w:szCs w:val="24"/>
              </w:rPr>
              <w:t>, Stifterfigur</w:t>
            </w:r>
            <w:r>
              <w:rPr>
                <w:rFonts w:cstheme="minorHAnsi"/>
                <w:sz w:val="24"/>
                <w:szCs w:val="24"/>
              </w:rPr>
              <w:t>), Hl. Heinrich, Hl. Kuni</w:t>
            </w:r>
            <w:r w:rsidR="00EA5A5B">
              <w:rPr>
                <w:rFonts w:cstheme="minorHAnsi"/>
                <w:sz w:val="24"/>
                <w:szCs w:val="24"/>
              </w:rPr>
              <w:t>-</w:t>
            </w:r>
          </w:p>
          <w:p w14:paraId="404EB4F6" w14:textId="03416D5B" w:rsidR="000A183E" w:rsidRDefault="000A183E" w:rsidP="00C967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gunde, Kleriker (Stifterfigur)</w:t>
            </w:r>
          </w:p>
          <w:p w14:paraId="1120011F" w14:textId="6C165A64" w:rsidR="000A183E" w:rsidRPr="0069296E" w:rsidRDefault="000A183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296E">
              <w:rPr>
                <w:rFonts w:cstheme="minorHAnsi"/>
                <w:sz w:val="24"/>
                <w:szCs w:val="24"/>
                <w:u w:val="single"/>
              </w:rPr>
              <w:t>Kämpferzone</w:t>
            </w:r>
            <w:r w:rsidR="0069296E">
              <w:rPr>
                <w:rFonts w:cstheme="minorHAnsi"/>
                <w:sz w:val="24"/>
                <w:szCs w:val="24"/>
              </w:rPr>
              <w:t xml:space="preserve"> (von innen nach außen)</w:t>
            </w:r>
          </w:p>
          <w:p w14:paraId="627A3A77" w14:textId="7CDA0088" w:rsidR="0069296E" w:rsidRDefault="0069296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Links: </w:t>
            </w:r>
            <w:r w:rsidR="00F331E5">
              <w:rPr>
                <w:rFonts w:cstheme="minorHAnsi"/>
                <w:sz w:val="24"/>
                <w:szCs w:val="24"/>
              </w:rPr>
              <w:t>„Trägerfigur“, 6 Apostel</w:t>
            </w:r>
            <w:r w:rsidR="008564D2">
              <w:rPr>
                <w:rFonts w:cstheme="minorHAnsi"/>
                <w:sz w:val="24"/>
                <w:szCs w:val="24"/>
              </w:rPr>
              <w:t xml:space="preserve"> (1. Petrus, 3. Johannes, 4. Thomas, die restlichen nicht identifizierbar), 3 Engel, Christus</w:t>
            </w:r>
          </w:p>
          <w:p w14:paraId="7A55ECBB" w14:textId="77777777" w:rsidR="00C96787" w:rsidRDefault="0069296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Rechts:</w:t>
            </w:r>
            <w:r w:rsidR="008564D2">
              <w:rPr>
                <w:rFonts w:cstheme="minorHAnsi"/>
                <w:sz w:val="24"/>
                <w:szCs w:val="24"/>
              </w:rPr>
              <w:t xml:space="preserve"> „Trägerfigur“, 6 Apostel (3. Bartholomäus, die restlichen nicht </w:t>
            </w:r>
          </w:p>
          <w:p w14:paraId="1B9C183B" w14:textId="38323CDE" w:rsidR="0069296E" w:rsidRDefault="008564D2" w:rsidP="00C967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identifizierbar), 2 Engel, 2 männliche Büsten (evtl. Kain und Abel)</w:t>
            </w:r>
          </w:p>
          <w:p w14:paraId="101DFE7F" w14:textId="09A6516E" w:rsidR="000A183E" w:rsidRDefault="000A183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296E">
              <w:rPr>
                <w:rFonts w:cstheme="minorHAnsi"/>
                <w:sz w:val="24"/>
                <w:szCs w:val="24"/>
                <w:u w:val="single"/>
              </w:rPr>
              <w:t>Kapitellzone</w:t>
            </w:r>
          </w:p>
          <w:p w14:paraId="6AA27914" w14:textId="5CC3B324" w:rsidR="0069296E" w:rsidRDefault="0069296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Links:</w:t>
            </w:r>
            <w:r w:rsidR="00F71553">
              <w:rPr>
                <w:rFonts w:cstheme="minorHAnsi"/>
                <w:sz w:val="24"/>
                <w:szCs w:val="24"/>
              </w:rPr>
              <w:t xml:space="preserve"> groteske Köpfe und Tiere, aus deren Mündern teilweise Ranken wachsen, weiteres Blattwerk, ganz innen eine kleine Figur</w:t>
            </w:r>
            <w:r w:rsidR="00A96867">
              <w:rPr>
                <w:rFonts w:cstheme="minorHAnsi"/>
                <w:sz w:val="24"/>
                <w:szCs w:val="24"/>
              </w:rPr>
              <w:t xml:space="preserve"> (evtl. </w:t>
            </w:r>
            <w:r w:rsidR="000537CB">
              <w:rPr>
                <w:rFonts w:cstheme="minorHAnsi"/>
                <w:sz w:val="24"/>
                <w:szCs w:val="24"/>
              </w:rPr>
              <w:t xml:space="preserve">optisches </w:t>
            </w:r>
            <w:r w:rsidR="00A96867">
              <w:rPr>
                <w:rFonts w:cstheme="minorHAnsi"/>
                <w:sz w:val="24"/>
                <w:szCs w:val="24"/>
              </w:rPr>
              <w:t>Pendant zu Eva auf der rechten Seite)</w:t>
            </w:r>
          </w:p>
          <w:p w14:paraId="5689BD5F" w14:textId="0ED929AA" w:rsidR="00C96787" w:rsidRDefault="0069296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Rechts:</w:t>
            </w:r>
            <w:r w:rsidR="00A57D47">
              <w:rPr>
                <w:rFonts w:cstheme="minorHAnsi"/>
                <w:sz w:val="24"/>
                <w:szCs w:val="24"/>
              </w:rPr>
              <w:t xml:space="preserve"> Fantasiewesen, Blattwerk; </w:t>
            </w:r>
            <w:r w:rsidR="00EA5A5B">
              <w:rPr>
                <w:rFonts w:cstheme="minorHAnsi"/>
                <w:sz w:val="24"/>
                <w:szCs w:val="24"/>
              </w:rPr>
              <w:t>2</w:t>
            </w:r>
            <w:r w:rsidR="00A57D47">
              <w:rPr>
                <w:rFonts w:cstheme="minorHAnsi"/>
                <w:sz w:val="24"/>
                <w:szCs w:val="24"/>
              </w:rPr>
              <w:t xml:space="preserve"> Figuren rechts und links des innersten Säulenkapitells (evtl. Adam und Eva), Figuren am äußersten Säulenkapitell (evtl. links Engel, der das Paradies bewacht, rechts Gott</w:t>
            </w:r>
            <w:r w:rsidR="00EA5A5B">
              <w:rPr>
                <w:rFonts w:cstheme="minorHAnsi"/>
                <w:sz w:val="24"/>
                <w:szCs w:val="24"/>
              </w:rPr>
              <w:t>-</w:t>
            </w:r>
          </w:p>
          <w:p w14:paraId="206A781A" w14:textId="7012A6F9" w:rsidR="0069296E" w:rsidRDefault="00A57D47" w:rsidP="00C967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vater),</w:t>
            </w:r>
            <w:r w:rsidR="00EA5A5B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 xml:space="preserve"> Figuren an der äußersten Gewändestufe (</w:t>
            </w:r>
            <w:r w:rsidR="00C96787">
              <w:rPr>
                <w:rFonts w:cstheme="minorHAnsi"/>
                <w:sz w:val="24"/>
                <w:szCs w:val="24"/>
              </w:rPr>
              <w:t xml:space="preserve">evtl. </w:t>
            </w:r>
            <w:r>
              <w:rPr>
                <w:rFonts w:cstheme="minorHAnsi"/>
                <w:sz w:val="24"/>
                <w:szCs w:val="24"/>
              </w:rPr>
              <w:t>Brudermord)</w:t>
            </w:r>
          </w:p>
        </w:tc>
      </w:tr>
      <w:tr w:rsidR="005D206D" w14:paraId="40E6DEE7" w14:textId="77777777" w:rsidTr="005D206D">
        <w:tc>
          <w:tcPr>
            <w:tcW w:w="1838" w:type="dxa"/>
          </w:tcPr>
          <w:p w14:paraId="057C86EF" w14:textId="77777777" w:rsidR="00F17411" w:rsidRDefault="006A33EF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Versetzungen</w:t>
            </w:r>
          </w:p>
          <w:p w14:paraId="02360304" w14:textId="6F50AFFE" w:rsidR="005D206D" w:rsidRPr="00F71553" w:rsidRDefault="006A33EF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Restaurierungen</w:t>
            </w:r>
          </w:p>
        </w:tc>
        <w:tc>
          <w:tcPr>
            <w:tcW w:w="7224" w:type="dxa"/>
          </w:tcPr>
          <w:p w14:paraId="66B5FFFA" w14:textId="77777777" w:rsidR="005D206D" w:rsidRDefault="00F17411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Ursprünglicher Standort</w:t>
            </w:r>
          </w:p>
          <w:p w14:paraId="7F29D7C8" w14:textId="6F405C69" w:rsidR="00F17411" w:rsidRDefault="00F17411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Immer wieder kleinere Konservierungsarbeiten und Kleben des Risses im Tympanon</w:t>
            </w:r>
          </w:p>
          <w:p w14:paraId="6D1E5D1C" w14:textId="0E08B58F" w:rsidR="00F17411" w:rsidRDefault="00F17411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1967 Teilaustausch des rechten Gewändes</w:t>
            </w:r>
          </w:p>
        </w:tc>
      </w:tr>
      <w:tr w:rsidR="005D206D" w14:paraId="185D13DC" w14:textId="77777777" w:rsidTr="005D206D">
        <w:tc>
          <w:tcPr>
            <w:tcW w:w="1838" w:type="dxa"/>
          </w:tcPr>
          <w:p w14:paraId="74022BB1" w14:textId="0D40FF96" w:rsidR="005D206D" w:rsidRPr="00F71553" w:rsidRDefault="006A33EF" w:rsidP="00C9678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Stilistischer Zusammenhang</w:t>
            </w:r>
          </w:p>
        </w:tc>
        <w:tc>
          <w:tcPr>
            <w:tcW w:w="7224" w:type="dxa"/>
          </w:tcPr>
          <w:p w14:paraId="25D701C4" w14:textId="0C175991" w:rsidR="005D206D" w:rsidRDefault="00BA4C4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Frühestes </w:t>
            </w:r>
            <w:r w:rsidR="0055456F">
              <w:rPr>
                <w:rFonts w:cstheme="minorHAnsi"/>
                <w:sz w:val="24"/>
                <w:szCs w:val="24"/>
              </w:rPr>
              <w:t xml:space="preserve">Werk der sog. Älteren </w:t>
            </w:r>
            <w:r>
              <w:rPr>
                <w:rFonts w:cstheme="minorHAnsi"/>
                <w:sz w:val="24"/>
                <w:szCs w:val="24"/>
              </w:rPr>
              <w:t>Bamberger Werkstatt</w:t>
            </w:r>
          </w:p>
          <w:p w14:paraId="349684FB" w14:textId="77777777" w:rsidR="00BA4C4E" w:rsidRDefault="00BA4C4E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Ähnlichkeiten mit verschiedenen süddeutschen Buchmalereien</w:t>
            </w:r>
          </w:p>
          <w:p w14:paraId="12531519" w14:textId="2AF1EE64" w:rsidR="00BA4C4E" w:rsidRDefault="00BA4C4E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Evtl. oberitalienische Bezüge</w:t>
            </w:r>
          </w:p>
        </w:tc>
      </w:tr>
      <w:tr w:rsidR="006A33EF" w14:paraId="7EF74479" w14:textId="77777777" w:rsidTr="005D206D">
        <w:tc>
          <w:tcPr>
            <w:tcW w:w="1838" w:type="dxa"/>
          </w:tcPr>
          <w:p w14:paraId="65B2AD0E" w14:textId="7E09069F" w:rsidR="006A33EF" w:rsidRPr="00F71553" w:rsidRDefault="006A33EF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Polychromie</w:t>
            </w:r>
          </w:p>
        </w:tc>
        <w:tc>
          <w:tcPr>
            <w:tcW w:w="7224" w:type="dxa"/>
          </w:tcPr>
          <w:p w14:paraId="5F019EDB" w14:textId="365737CF" w:rsidR="006A33EF" w:rsidRDefault="00906154" w:rsidP="00C967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Zwei mittelalterliche polychrome Farbfassungen</w:t>
            </w:r>
          </w:p>
          <w:p w14:paraId="12A5D55E" w14:textId="5ABC5EF1" w:rsidR="00906154" w:rsidRDefault="00906154" w:rsidP="00305BD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Flächenhafte Ockerfassung</w:t>
            </w:r>
            <w:r w:rsidR="000537CB">
              <w:rPr>
                <w:rFonts w:cstheme="minorHAnsi"/>
                <w:sz w:val="24"/>
                <w:szCs w:val="24"/>
              </w:rPr>
              <w:t>,</w:t>
            </w:r>
            <w:r w:rsidR="00617933">
              <w:rPr>
                <w:rFonts w:cstheme="minorHAnsi"/>
                <w:sz w:val="24"/>
                <w:szCs w:val="24"/>
              </w:rPr>
              <w:t xml:space="preserve"> vermutlich im 17. Jh.</w:t>
            </w:r>
          </w:p>
        </w:tc>
      </w:tr>
      <w:tr w:rsidR="006A33EF" w14:paraId="2458E6D8" w14:textId="77777777" w:rsidTr="005D206D">
        <w:tc>
          <w:tcPr>
            <w:tcW w:w="1838" w:type="dxa"/>
          </w:tcPr>
          <w:p w14:paraId="72A20E78" w14:textId="7E3B35B7" w:rsidR="006A33EF" w:rsidRPr="00F71553" w:rsidRDefault="006A33EF" w:rsidP="00305B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155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Literatur</w:t>
            </w:r>
          </w:p>
        </w:tc>
        <w:tc>
          <w:tcPr>
            <w:tcW w:w="7224" w:type="dxa"/>
          </w:tcPr>
          <w:p w14:paraId="4F9902AF" w14:textId="3810B4F1" w:rsidR="009C72D1" w:rsidRDefault="00583998" w:rsidP="005839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9C72D1" w:rsidRPr="009C72D1">
              <w:rPr>
                <w:rFonts w:cstheme="minorHAnsi"/>
                <w:sz w:val="24"/>
                <w:szCs w:val="24"/>
              </w:rPr>
              <w:t>Exner, Matthias: Die Kunstdenkmäler von Oberfranken</w:t>
            </w:r>
            <w:r>
              <w:rPr>
                <w:rFonts w:cstheme="minorHAnsi"/>
                <w:sz w:val="24"/>
                <w:szCs w:val="24"/>
              </w:rPr>
              <w:t>. Stadt Bamberg. Domberg. 1. Das Domstift. Teil 1: Baugeschichte, Baubeschreibung, Analyse</w:t>
            </w:r>
            <w:r w:rsidR="009C72D1" w:rsidRPr="009C72D1">
              <w:rPr>
                <w:rFonts w:cstheme="minorHAnsi"/>
                <w:sz w:val="24"/>
                <w:szCs w:val="24"/>
              </w:rPr>
              <w:t>, Bamberg 2015.</w:t>
            </w:r>
          </w:p>
          <w:p w14:paraId="7F92A7CB" w14:textId="77777777" w:rsidR="00583998" w:rsidRDefault="00583998" w:rsidP="005839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C1CE4">
              <w:rPr>
                <w:rFonts w:cstheme="minorHAnsi"/>
                <w:sz w:val="24"/>
                <w:szCs w:val="24"/>
              </w:rPr>
              <w:t xml:space="preserve">Hubel, Achim: </w:t>
            </w:r>
            <w:r w:rsidR="003C1CE4" w:rsidRPr="003C1CE4">
              <w:rPr>
                <w:rFonts w:cstheme="minorHAnsi"/>
                <w:sz w:val="24"/>
                <w:szCs w:val="24"/>
              </w:rPr>
              <w:t>Überlegungen zur älteren Bildhauerwerkstatt des Bamberger Doms und zum Stand der Forschung</w:t>
            </w:r>
            <w:r w:rsidR="003C1CE4">
              <w:rPr>
                <w:rFonts w:cstheme="minorHAnsi"/>
                <w:sz w:val="24"/>
                <w:szCs w:val="24"/>
              </w:rPr>
              <w:t xml:space="preserve">, in: Albrecht, Stephan (Hrsg.): </w:t>
            </w:r>
            <w:r w:rsidR="003C1CE4" w:rsidRPr="003C1CE4">
              <w:rPr>
                <w:rFonts w:cstheme="minorHAnsi"/>
                <w:sz w:val="24"/>
                <w:szCs w:val="24"/>
              </w:rPr>
              <w:t>Der Bamberger Dom im europäischen Kontext</w:t>
            </w:r>
            <w:r w:rsidR="003C1CE4">
              <w:rPr>
                <w:rFonts w:cstheme="minorHAnsi"/>
                <w:sz w:val="24"/>
                <w:szCs w:val="24"/>
              </w:rPr>
              <w:t>, Bamberg</w:t>
            </w:r>
            <w:r w:rsidR="003C1CE4" w:rsidRPr="003C1CE4">
              <w:rPr>
                <w:rFonts w:cstheme="minorHAnsi"/>
                <w:sz w:val="24"/>
                <w:szCs w:val="24"/>
              </w:rPr>
              <w:t xml:space="preserve"> </w:t>
            </w:r>
            <w:r w:rsidR="003C1CE4">
              <w:rPr>
                <w:rFonts w:cstheme="minorHAnsi"/>
                <w:sz w:val="24"/>
                <w:szCs w:val="24"/>
              </w:rPr>
              <w:t>2015, S. 7 – 41.</w:t>
            </w:r>
          </w:p>
          <w:p w14:paraId="19D1397B" w14:textId="77777777" w:rsidR="00C12206" w:rsidRDefault="00C12206" w:rsidP="005839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Tenschert, Ruth: Varianten der Restaurierung. Beobachtungen zu Restaurierungsmaßnahmen an mittelalterlichen Portalen am Beispiel der Gnadenpforte des Bamberger Doms, in: </w:t>
            </w:r>
            <w:r w:rsidRPr="00C12206">
              <w:rPr>
                <w:rFonts w:cstheme="minorHAnsi"/>
                <w:sz w:val="24"/>
                <w:szCs w:val="24"/>
              </w:rPr>
              <w:t>Albrecht,</w:t>
            </w:r>
            <w:r w:rsidR="00C173C7">
              <w:rPr>
                <w:rFonts w:cstheme="minorHAnsi"/>
                <w:sz w:val="24"/>
                <w:szCs w:val="24"/>
              </w:rPr>
              <w:t xml:space="preserve"> Stephan –</w:t>
            </w:r>
            <w:r w:rsidRPr="00C12206">
              <w:rPr>
                <w:rFonts w:cstheme="minorHAnsi"/>
                <w:sz w:val="24"/>
                <w:szCs w:val="24"/>
              </w:rPr>
              <w:t xml:space="preserve"> Stefan Breitling</w:t>
            </w:r>
            <w:r w:rsidR="00C173C7">
              <w:rPr>
                <w:rFonts w:cstheme="minorHAnsi"/>
                <w:sz w:val="24"/>
                <w:szCs w:val="24"/>
              </w:rPr>
              <w:t xml:space="preserve"> –</w:t>
            </w:r>
            <w:r w:rsidRPr="00C12206">
              <w:rPr>
                <w:rFonts w:cstheme="minorHAnsi"/>
                <w:sz w:val="24"/>
                <w:szCs w:val="24"/>
              </w:rPr>
              <w:t xml:space="preserve"> Rainer Drewello (H</w:t>
            </w:r>
            <w:r>
              <w:rPr>
                <w:rFonts w:cstheme="minorHAnsi"/>
                <w:sz w:val="24"/>
                <w:szCs w:val="24"/>
              </w:rPr>
              <w:t>rs</w:t>
            </w:r>
            <w:r w:rsidRPr="00C12206">
              <w:rPr>
                <w:rFonts w:cstheme="minorHAnsi"/>
                <w:sz w:val="24"/>
                <w:szCs w:val="24"/>
              </w:rPr>
              <w:t>g.)</w:t>
            </w:r>
            <w:r>
              <w:rPr>
                <w:rFonts w:cstheme="minorHAnsi"/>
                <w:sz w:val="24"/>
                <w:szCs w:val="24"/>
              </w:rPr>
              <w:t xml:space="preserve">: Das Kirchenportal im Mittelalter, </w:t>
            </w:r>
            <w:r w:rsidR="00C173C7">
              <w:rPr>
                <w:rFonts w:cstheme="minorHAnsi"/>
                <w:sz w:val="24"/>
                <w:szCs w:val="24"/>
              </w:rPr>
              <w:t xml:space="preserve">Petersberg 2019, </w:t>
            </w:r>
            <w:r>
              <w:rPr>
                <w:rFonts w:cstheme="minorHAnsi"/>
                <w:sz w:val="24"/>
                <w:szCs w:val="24"/>
              </w:rPr>
              <w:t>S. 250 – 261.</w:t>
            </w:r>
          </w:p>
          <w:p w14:paraId="4E12050F" w14:textId="5F801A77" w:rsidR="00336A11" w:rsidRPr="009C72D1" w:rsidRDefault="00336A11" w:rsidP="005839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Wagner, Erna: Die Gnadenpforte am Dom zu Bamberg, Würzburg 1965.</w:t>
            </w:r>
          </w:p>
        </w:tc>
      </w:tr>
    </w:tbl>
    <w:p w14:paraId="0EA639DA" w14:textId="786BFE87" w:rsidR="00305BD9" w:rsidRPr="00305BD9" w:rsidRDefault="00305BD9" w:rsidP="00F56F3B">
      <w:pPr>
        <w:spacing w:line="360" w:lineRule="auto"/>
        <w:rPr>
          <w:sz w:val="24"/>
          <w:szCs w:val="24"/>
        </w:rPr>
      </w:pPr>
    </w:p>
    <w:sectPr w:rsidR="00305BD9" w:rsidRPr="00305BD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21FFD" w14:textId="77777777" w:rsidR="009415BD" w:rsidRDefault="009415BD" w:rsidP="00984ADF">
      <w:pPr>
        <w:spacing w:after="0" w:line="240" w:lineRule="auto"/>
      </w:pPr>
      <w:r>
        <w:separator/>
      </w:r>
    </w:p>
  </w:endnote>
  <w:endnote w:type="continuationSeparator" w:id="0">
    <w:p w14:paraId="092A2B40" w14:textId="77777777" w:rsidR="009415BD" w:rsidRDefault="009415BD" w:rsidP="0098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60376"/>
      <w:docPartObj>
        <w:docPartGallery w:val="Page Numbers (Bottom of Page)"/>
        <w:docPartUnique/>
      </w:docPartObj>
    </w:sdtPr>
    <w:sdtEndPr/>
    <w:sdtContent>
      <w:p w14:paraId="09CDED80" w14:textId="63D0AAD5" w:rsidR="00984ADF" w:rsidRDefault="00984AD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71">
          <w:rPr>
            <w:noProof/>
          </w:rPr>
          <w:t>1</w:t>
        </w:r>
        <w:r>
          <w:fldChar w:fldCharType="end"/>
        </w:r>
      </w:p>
    </w:sdtContent>
  </w:sdt>
  <w:p w14:paraId="751FD066" w14:textId="77777777" w:rsidR="00984ADF" w:rsidRDefault="00984A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8794" w14:textId="77777777" w:rsidR="009415BD" w:rsidRDefault="009415BD" w:rsidP="00984ADF">
      <w:pPr>
        <w:spacing w:after="0" w:line="240" w:lineRule="auto"/>
      </w:pPr>
      <w:r>
        <w:separator/>
      </w:r>
    </w:p>
  </w:footnote>
  <w:footnote w:type="continuationSeparator" w:id="0">
    <w:p w14:paraId="742F2A20" w14:textId="77777777" w:rsidR="009415BD" w:rsidRDefault="009415BD" w:rsidP="0098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6EDB"/>
    <w:multiLevelType w:val="hybridMultilevel"/>
    <w:tmpl w:val="DBDABBC2"/>
    <w:lvl w:ilvl="0" w:tplc="A9E67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D9"/>
    <w:rsid w:val="000537CB"/>
    <w:rsid w:val="00087AE9"/>
    <w:rsid w:val="000A183E"/>
    <w:rsid w:val="00105C4E"/>
    <w:rsid w:val="001106BB"/>
    <w:rsid w:val="00262D2E"/>
    <w:rsid w:val="002F5730"/>
    <w:rsid w:val="00305BD9"/>
    <w:rsid w:val="00336A11"/>
    <w:rsid w:val="003C1CE4"/>
    <w:rsid w:val="0055456F"/>
    <w:rsid w:val="00583998"/>
    <w:rsid w:val="005D206D"/>
    <w:rsid w:val="00617933"/>
    <w:rsid w:val="00621214"/>
    <w:rsid w:val="0069296E"/>
    <w:rsid w:val="006A33EF"/>
    <w:rsid w:val="008564D2"/>
    <w:rsid w:val="00906154"/>
    <w:rsid w:val="009415BD"/>
    <w:rsid w:val="00984ADF"/>
    <w:rsid w:val="009C72D1"/>
    <w:rsid w:val="00A57D47"/>
    <w:rsid w:val="00A653BD"/>
    <w:rsid w:val="00A96867"/>
    <w:rsid w:val="00BA4C4E"/>
    <w:rsid w:val="00BF25ED"/>
    <w:rsid w:val="00C12206"/>
    <w:rsid w:val="00C173C7"/>
    <w:rsid w:val="00C96787"/>
    <w:rsid w:val="00D0470C"/>
    <w:rsid w:val="00D26015"/>
    <w:rsid w:val="00DA4471"/>
    <w:rsid w:val="00E64514"/>
    <w:rsid w:val="00EA5A5B"/>
    <w:rsid w:val="00F17411"/>
    <w:rsid w:val="00F331E5"/>
    <w:rsid w:val="00F56F3B"/>
    <w:rsid w:val="00F71553"/>
    <w:rsid w:val="00F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1771"/>
  <w15:chartTrackingRefBased/>
  <w15:docId w15:val="{6720F9B5-881A-436E-8BC0-2D72714C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047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4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ADF"/>
  </w:style>
  <w:style w:type="paragraph" w:styleId="Fuzeile">
    <w:name w:val="footer"/>
    <w:basedOn w:val="Standard"/>
    <w:link w:val="FuzeileZchn"/>
    <w:uiPriority w:val="99"/>
    <w:unhideWhenUsed/>
    <w:rsid w:val="00984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Elisabeth Lotter</dc:creator>
  <cp:keywords/>
  <dc:description/>
  <cp:lastModifiedBy>Albrecht, Stephan</cp:lastModifiedBy>
  <cp:revision>2</cp:revision>
  <dcterms:created xsi:type="dcterms:W3CDTF">2020-11-10T15:24:00Z</dcterms:created>
  <dcterms:modified xsi:type="dcterms:W3CDTF">2020-11-10T15:24:00Z</dcterms:modified>
</cp:coreProperties>
</file>