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7E" w:rsidRDefault="0068207E" w:rsidP="0068207E">
      <w:pPr>
        <w:pStyle w:val="berschrift1"/>
      </w:pPr>
      <w:bookmarkStart w:id="0" w:name="_GoBack"/>
      <w:bookmarkEnd w:id="0"/>
      <w:r>
        <w:t xml:space="preserve">Steckbrief </w:t>
      </w:r>
      <w:r w:rsidR="002D13B8">
        <w:t>Galluspforte</w:t>
      </w:r>
    </w:p>
    <w:p w:rsidR="00CC09CD" w:rsidRPr="00CC09CD" w:rsidRDefault="0068207E" w:rsidP="00CC09CD">
      <w:pPr>
        <w:pStyle w:val="berschrift3"/>
        <w:spacing w:before="120" w:after="0" w:line="276" w:lineRule="auto"/>
        <w:rPr>
          <w:sz w:val="24"/>
        </w:rPr>
      </w:pPr>
      <w:r w:rsidRPr="00AB4670">
        <w:rPr>
          <w:b/>
          <w:bCs/>
          <w:sz w:val="24"/>
        </w:rPr>
        <w:t>Name</w:t>
      </w:r>
      <w:r w:rsidRPr="00AB4670">
        <w:rPr>
          <w:sz w:val="24"/>
        </w:rPr>
        <w:t xml:space="preserve">: </w:t>
      </w:r>
      <w:r w:rsidR="0025126B" w:rsidRPr="00AB4670">
        <w:rPr>
          <w:sz w:val="24"/>
        </w:rPr>
        <w:t xml:space="preserve">Die </w:t>
      </w:r>
      <w:r w:rsidRPr="00AB4670">
        <w:rPr>
          <w:sz w:val="24"/>
        </w:rPr>
        <w:t>Galluspforte</w:t>
      </w:r>
      <w:r w:rsidR="0025126B" w:rsidRPr="00AB4670">
        <w:rPr>
          <w:sz w:val="24"/>
        </w:rPr>
        <w:t xml:space="preserve"> des Basler Münsters</w:t>
      </w:r>
      <w:r w:rsidR="00A93992">
        <w:rPr>
          <w:sz w:val="24"/>
        </w:rPr>
        <w:t xml:space="preserve"> (benannt nach der dahinter liegenden </w:t>
      </w:r>
      <w:proofErr w:type="spellStart"/>
      <w:r w:rsidR="00A93992">
        <w:rPr>
          <w:sz w:val="24"/>
        </w:rPr>
        <w:t>Galluskapelle</w:t>
      </w:r>
      <w:proofErr w:type="spellEnd"/>
      <w:r w:rsidR="00A93992">
        <w:rPr>
          <w:sz w:val="24"/>
        </w:rPr>
        <w:t>)</w:t>
      </w:r>
    </w:p>
    <w:p w:rsidR="00CC09CD" w:rsidRPr="00CC09CD" w:rsidRDefault="0068207E" w:rsidP="00CC09CD">
      <w:pPr>
        <w:pStyle w:val="berschrift3"/>
        <w:spacing w:before="120" w:after="0" w:line="276" w:lineRule="auto"/>
        <w:rPr>
          <w:sz w:val="24"/>
        </w:rPr>
      </w:pPr>
      <w:r w:rsidRPr="00AB4670">
        <w:rPr>
          <w:b/>
          <w:bCs/>
          <w:sz w:val="24"/>
        </w:rPr>
        <w:t xml:space="preserve">Ort </w:t>
      </w:r>
      <w:r w:rsidR="0025126B" w:rsidRPr="00AB4670">
        <w:rPr>
          <w:b/>
          <w:bCs/>
          <w:sz w:val="24"/>
        </w:rPr>
        <w:t>an</w:t>
      </w:r>
      <w:r w:rsidRPr="00AB4670">
        <w:rPr>
          <w:b/>
          <w:bCs/>
          <w:sz w:val="24"/>
        </w:rPr>
        <w:t xml:space="preserve"> der Kirche</w:t>
      </w:r>
      <w:r w:rsidR="0025126B" w:rsidRPr="00AB4670">
        <w:rPr>
          <w:sz w:val="24"/>
        </w:rPr>
        <w:t>: Portal am Nordquerhaus</w:t>
      </w:r>
    </w:p>
    <w:p w:rsidR="00CC09CD" w:rsidRPr="00CC09CD" w:rsidRDefault="0068207E" w:rsidP="00CC09CD">
      <w:pPr>
        <w:pStyle w:val="berschrift3"/>
        <w:spacing w:before="120" w:after="0" w:line="276" w:lineRule="auto"/>
        <w:rPr>
          <w:sz w:val="24"/>
        </w:rPr>
      </w:pPr>
      <w:r w:rsidRPr="00AB4670">
        <w:rPr>
          <w:b/>
          <w:bCs/>
          <w:sz w:val="24"/>
        </w:rPr>
        <w:t>Material</w:t>
      </w:r>
      <w:r w:rsidR="0054384C" w:rsidRPr="00CF28F0">
        <w:rPr>
          <w:sz w:val="24"/>
        </w:rPr>
        <w:t>:</w:t>
      </w:r>
      <w:r w:rsidR="00CF28F0">
        <w:rPr>
          <w:sz w:val="24"/>
        </w:rPr>
        <w:t xml:space="preserve"> Größtenteils Wiesentäler Sandstein, Teile auch </w:t>
      </w:r>
      <w:proofErr w:type="spellStart"/>
      <w:r w:rsidR="00CF28F0">
        <w:rPr>
          <w:sz w:val="24"/>
        </w:rPr>
        <w:t>Degerfelder</w:t>
      </w:r>
      <w:proofErr w:type="spellEnd"/>
      <w:r w:rsidR="00CF28F0">
        <w:rPr>
          <w:sz w:val="24"/>
        </w:rPr>
        <w:t xml:space="preserve"> Sandstein und einzelne Elemente (drei Kapitelle) aus </w:t>
      </w:r>
      <w:proofErr w:type="spellStart"/>
      <w:r w:rsidR="00CF28F0">
        <w:rPr>
          <w:sz w:val="24"/>
        </w:rPr>
        <w:t>Kalkarenit</w:t>
      </w:r>
      <w:proofErr w:type="spellEnd"/>
      <w:r w:rsidR="00CF28F0">
        <w:rPr>
          <w:sz w:val="24"/>
        </w:rPr>
        <w:t xml:space="preserve"> </w:t>
      </w:r>
    </w:p>
    <w:p w:rsidR="00CC09CD" w:rsidRPr="00CC09CD" w:rsidRDefault="0068207E" w:rsidP="00CC09CD">
      <w:pPr>
        <w:pStyle w:val="berschrift3"/>
        <w:spacing w:before="120" w:after="0" w:line="276" w:lineRule="auto"/>
        <w:rPr>
          <w:sz w:val="24"/>
        </w:rPr>
      </w:pPr>
      <w:r w:rsidRPr="00CF28F0">
        <w:rPr>
          <w:b/>
          <w:bCs/>
          <w:sz w:val="24"/>
        </w:rPr>
        <w:t>Datierung</w:t>
      </w:r>
      <w:r w:rsidR="00CF28F0" w:rsidRPr="00CF28F0">
        <w:rPr>
          <w:sz w:val="24"/>
        </w:rPr>
        <w:t>:</w:t>
      </w:r>
      <w:r w:rsidR="000E1420">
        <w:rPr>
          <w:sz w:val="24"/>
        </w:rPr>
        <w:t xml:space="preserve"> Eine sichere Datierung ist (noch) nicht möglich. 1185 gab es einen in Quellen erwähnten Münsterbrand, der allerdings nicht zwingen für den Beginn des Baus des spätromanischen Münsters sprechen muss. Eine Datierung in den letzten beiden Dekaden des 12. Jahrhunderts ist der aktuelle Stand der Forschung, der sich weniger auf stilgeschichtliche Vergleiche, sondern mehr auf baugeschichtliche Befunde des Münster</w:t>
      </w:r>
      <w:r w:rsidR="00B30210">
        <w:rPr>
          <w:sz w:val="24"/>
        </w:rPr>
        <w:t>s</w:t>
      </w:r>
      <w:r w:rsidR="000E1420">
        <w:rPr>
          <w:sz w:val="24"/>
        </w:rPr>
        <w:t xml:space="preserve"> bezieht.</w:t>
      </w:r>
    </w:p>
    <w:p w:rsidR="0068207E" w:rsidRPr="00AB4670" w:rsidRDefault="0068207E" w:rsidP="00CC09CD">
      <w:pPr>
        <w:pStyle w:val="berschrift3"/>
        <w:spacing w:before="120" w:after="0" w:line="276" w:lineRule="auto"/>
        <w:rPr>
          <w:sz w:val="24"/>
        </w:rPr>
      </w:pPr>
      <w:r w:rsidRPr="009F6E54">
        <w:rPr>
          <w:b/>
          <w:bCs/>
          <w:sz w:val="24"/>
        </w:rPr>
        <w:t>Struktur</w:t>
      </w:r>
      <w:r w:rsidR="005D3C0A">
        <w:rPr>
          <w:sz w:val="24"/>
        </w:rPr>
        <w:t xml:space="preserve">: </w:t>
      </w:r>
      <w:r w:rsidR="00FA532A">
        <w:rPr>
          <w:sz w:val="24"/>
        </w:rPr>
        <w:t xml:space="preserve">Zwei Nischenpfeilern aus </w:t>
      </w:r>
      <w:r w:rsidR="00390F39">
        <w:rPr>
          <w:sz w:val="24"/>
        </w:rPr>
        <w:t xml:space="preserve">fünf </w:t>
      </w:r>
      <w:r w:rsidR="009431CD">
        <w:rPr>
          <w:sz w:val="24"/>
        </w:rPr>
        <w:t xml:space="preserve">gleichbreiten </w:t>
      </w:r>
      <w:r w:rsidR="005D3C0A">
        <w:rPr>
          <w:sz w:val="24"/>
        </w:rPr>
        <w:t xml:space="preserve">übereinander liegenden </w:t>
      </w:r>
      <w:r w:rsidR="005D3C0A" w:rsidRPr="00794E8F">
        <w:rPr>
          <w:sz w:val="24"/>
          <w:u w:val="single"/>
        </w:rPr>
        <w:t>Ädikulen</w:t>
      </w:r>
      <w:r w:rsidR="00FA532A">
        <w:rPr>
          <w:sz w:val="24"/>
          <w:u w:val="single"/>
        </w:rPr>
        <w:t xml:space="preserve"> </w:t>
      </w:r>
      <w:r w:rsidR="00FA532A">
        <w:rPr>
          <w:sz w:val="24"/>
        </w:rPr>
        <w:t>rahmen das Portal seitlich</w:t>
      </w:r>
      <w:r w:rsidR="009431CD">
        <w:rPr>
          <w:sz w:val="24"/>
        </w:rPr>
        <w:t>.</w:t>
      </w:r>
      <w:r w:rsidR="00390F39">
        <w:rPr>
          <w:sz w:val="24"/>
        </w:rPr>
        <w:t xml:space="preserve"> </w:t>
      </w:r>
      <w:r w:rsidR="009431CD">
        <w:rPr>
          <w:sz w:val="24"/>
        </w:rPr>
        <w:t>I</w:t>
      </w:r>
      <w:r w:rsidR="00390F39">
        <w:rPr>
          <w:sz w:val="24"/>
        </w:rPr>
        <w:t xml:space="preserve">n </w:t>
      </w:r>
      <w:r w:rsidR="009431CD">
        <w:rPr>
          <w:sz w:val="24"/>
        </w:rPr>
        <w:t>deren Nischen sind</w:t>
      </w:r>
      <w:r w:rsidR="00390F39">
        <w:rPr>
          <w:sz w:val="24"/>
        </w:rPr>
        <w:t xml:space="preserve"> Szenen</w:t>
      </w:r>
      <w:r w:rsidR="005D3C0A">
        <w:rPr>
          <w:sz w:val="24"/>
        </w:rPr>
        <w:t xml:space="preserve"> </w:t>
      </w:r>
      <w:r w:rsidR="00390F39">
        <w:rPr>
          <w:sz w:val="24"/>
        </w:rPr>
        <w:t>und in der oberen Hälfte einzelne Figuren zu sehen. Ein</w:t>
      </w:r>
      <w:r w:rsidR="005D3C0A">
        <w:rPr>
          <w:sz w:val="24"/>
        </w:rPr>
        <w:t xml:space="preserve"> </w:t>
      </w:r>
      <w:r w:rsidR="00FA532A">
        <w:rPr>
          <w:sz w:val="24"/>
          <w:u w:val="single"/>
        </w:rPr>
        <w:t>Kranzgesims mit Fries</w:t>
      </w:r>
      <w:r w:rsidR="00390F39">
        <w:rPr>
          <w:sz w:val="24"/>
        </w:rPr>
        <w:t xml:space="preserve"> liegt auf den obersten Zwei Ädikulen auf und schließt damit das Portal ab</w:t>
      </w:r>
      <w:r w:rsidR="005D3C0A">
        <w:rPr>
          <w:sz w:val="24"/>
        </w:rPr>
        <w:t>.</w:t>
      </w:r>
      <w:r w:rsidR="00390F39">
        <w:rPr>
          <w:sz w:val="24"/>
        </w:rPr>
        <w:t xml:space="preserve"> </w:t>
      </w:r>
      <w:r w:rsidR="00532C84">
        <w:rPr>
          <w:sz w:val="24"/>
        </w:rPr>
        <w:t xml:space="preserve">In den Zwickeln zwischen Archivolten und Gebälk sind ebenfalls figürliche Darstellungen. </w:t>
      </w:r>
      <w:r w:rsidR="00390F39">
        <w:rPr>
          <w:sz w:val="24"/>
        </w:rPr>
        <w:t>Ein</w:t>
      </w:r>
      <w:r w:rsidR="00532C84">
        <w:rPr>
          <w:sz w:val="24"/>
        </w:rPr>
        <w:t xml:space="preserve"> </w:t>
      </w:r>
      <w:r w:rsidR="005D3C0A">
        <w:rPr>
          <w:sz w:val="24"/>
        </w:rPr>
        <w:t>skulptiertes</w:t>
      </w:r>
      <w:r w:rsidR="00FA532A">
        <w:rPr>
          <w:sz w:val="24"/>
        </w:rPr>
        <w:t>, dreistufiges</w:t>
      </w:r>
      <w:r w:rsidR="005D3C0A">
        <w:rPr>
          <w:sz w:val="24"/>
        </w:rPr>
        <w:t xml:space="preserve"> </w:t>
      </w:r>
      <w:r w:rsidR="005D3C0A" w:rsidRPr="00794E8F">
        <w:rPr>
          <w:sz w:val="24"/>
          <w:u w:val="single"/>
        </w:rPr>
        <w:t>Gewände</w:t>
      </w:r>
      <w:r w:rsidR="005D3C0A">
        <w:rPr>
          <w:sz w:val="24"/>
        </w:rPr>
        <w:t xml:space="preserve"> mit jeweils drei davorstehenden </w:t>
      </w:r>
      <w:r w:rsidR="005D3C0A" w:rsidRPr="00794E8F">
        <w:rPr>
          <w:sz w:val="24"/>
          <w:u w:val="single"/>
        </w:rPr>
        <w:t>Säulen</w:t>
      </w:r>
      <w:r w:rsidR="005D3C0A">
        <w:rPr>
          <w:sz w:val="24"/>
        </w:rPr>
        <w:t xml:space="preserve"> </w:t>
      </w:r>
      <w:r w:rsidR="00390F39">
        <w:rPr>
          <w:sz w:val="24"/>
        </w:rPr>
        <w:t>leitet zur Tür hin. Auf</w:t>
      </w:r>
      <w:r w:rsidR="005D3C0A">
        <w:rPr>
          <w:sz w:val="24"/>
        </w:rPr>
        <w:t xml:space="preserve"> einen zurückspringenden </w:t>
      </w:r>
      <w:r w:rsidR="00532C84">
        <w:rPr>
          <w:sz w:val="24"/>
        </w:rPr>
        <w:t>Ornamentf</w:t>
      </w:r>
      <w:r w:rsidR="005D3C0A">
        <w:rPr>
          <w:sz w:val="24"/>
        </w:rPr>
        <w:t>ries</w:t>
      </w:r>
      <w:r w:rsidR="00390F39">
        <w:rPr>
          <w:sz w:val="24"/>
        </w:rPr>
        <w:t xml:space="preserve">, der auf den </w:t>
      </w:r>
      <w:r w:rsidR="00532C84">
        <w:rPr>
          <w:sz w:val="24"/>
        </w:rPr>
        <w:t xml:space="preserve">seitlichen Ädikulen und den </w:t>
      </w:r>
      <w:r w:rsidR="00390F39">
        <w:rPr>
          <w:sz w:val="24"/>
        </w:rPr>
        <w:t xml:space="preserve">Kapitellen der Säulen aufliegt, beginnen die </w:t>
      </w:r>
      <w:r w:rsidR="00532C84">
        <w:rPr>
          <w:sz w:val="24"/>
        </w:rPr>
        <w:t xml:space="preserve">halbkreisförmigen </w:t>
      </w:r>
      <w:r w:rsidR="00390F39" w:rsidRPr="00794E8F">
        <w:rPr>
          <w:sz w:val="24"/>
          <w:u w:val="single"/>
        </w:rPr>
        <w:t>Archivolten</w:t>
      </w:r>
      <w:r w:rsidR="005D3C0A">
        <w:rPr>
          <w:sz w:val="24"/>
        </w:rPr>
        <w:t xml:space="preserve">. </w:t>
      </w:r>
      <w:r w:rsidR="00B354D8">
        <w:rPr>
          <w:sz w:val="24"/>
        </w:rPr>
        <w:t>Ein rundbogiges Ornamentband überfängt d</w:t>
      </w:r>
      <w:r w:rsidR="005D3C0A">
        <w:rPr>
          <w:sz w:val="24"/>
        </w:rPr>
        <w:t xml:space="preserve">ie </w:t>
      </w:r>
      <w:r w:rsidR="00B354D8">
        <w:rPr>
          <w:sz w:val="24"/>
        </w:rPr>
        <w:t xml:space="preserve">schulterbogenförmige </w:t>
      </w:r>
      <w:r w:rsidR="00B354D8" w:rsidRPr="00794E8F">
        <w:rPr>
          <w:sz w:val="24"/>
          <w:u w:val="single"/>
        </w:rPr>
        <w:t>Bronzet</w:t>
      </w:r>
      <w:r w:rsidR="005D3C0A" w:rsidRPr="00794E8F">
        <w:rPr>
          <w:sz w:val="24"/>
          <w:u w:val="single"/>
        </w:rPr>
        <w:t>ür</w:t>
      </w:r>
      <w:r w:rsidR="005D3C0A">
        <w:rPr>
          <w:sz w:val="24"/>
        </w:rPr>
        <w:t>, de</w:t>
      </w:r>
      <w:r w:rsidR="00B354D8">
        <w:rPr>
          <w:sz w:val="24"/>
        </w:rPr>
        <w:t>n</w:t>
      </w:r>
      <w:r w:rsidR="005D3C0A">
        <w:rPr>
          <w:sz w:val="24"/>
        </w:rPr>
        <w:t xml:space="preserve"> </w:t>
      </w:r>
      <w:r w:rsidR="005D3C0A" w:rsidRPr="00794E8F">
        <w:rPr>
          <w:sz w:val="24"/>
          <w:u w:val="single"/>
        </w:rPr>
        <w:t>Türsturz</w:t>
      </w:r>
      <w:r w:rsidR="005D3C0A">
        <w:rPr>
          <w:sz w:val="24"/>
        </w:rPr>
        <w:t xml:space="preserve"> und das </w:t>
      </w:r>
      <w:r w:rsidR="00B354D8">
        <w:rPr>
          <w:sz w:val="24"/>
        </w:rPr>
        <w:t xml:space="preserve">halbkreisförmige </w:t>
      </w:r>
      <w:r w:rsidR="005D3C0A" w:rsidRPr="00794E8F">
        <w:rPr>
          <w:sz w:val="24"/>
          <w:u w:val="single"/>
        </w:rPr>
        <w:t>Tympanon</w:t>
      </w:r>
      <w:r w:rsidR="00B354D8">
        <w:rPr>
          <w:sz w:val="24"/>
        </w:rPr>
        <w:t xml:space="preserve">. </w:t>
      </w:r>
      <w:r w:rsidR="00C37636">
        <w:rPr>
          <w:sz w:val="24"/>
        </w:rPr>
        <w:t xml:space="preserve">Der </w:t>
      </w:r>
      <w:r w:rsidR="00B354D8">
        <w:rPr>
          <w:sz w:val="24"/>
        </w:rPr>
        <w:t xml:space="preserve">Sturz und </w:t>
      </w:r>
      <w:r w:rsidR="00C37636">
        <w:rPr>
          <w:sz w:val="24"/>
        </w:rPr>
        <w:t xml:space="preserve">das </w:t>
      </w:r>
      <w:r w:rsidR="00794E8F">
        <w:rPr>
          <w:sz w:val="24"/>
        </w:rPr>
        <w:t>Bogenfeld</w:t>
      </w:r>
      <w:r w:rsidR="00B354D8">
        <w:rPr>
          <w:sz w:val="24"/>
        </w:rPr>
        <w:t xml:space="preserve"> sind figürlich gefüllt.</w:t>
      </w:r>
    </w:p>
    <w:p w:rsidR="0068207E" w:rsidRPr="00AB4670" w:rsidRDefault="0068207E" w:rsidP="00CC09CD">
      <w:pPr>
        <w:pStyle w:val="berschrift3"/>
        <w:spacing w:before="120" w:after="0" w:line="276" w:lineRule="auto"/>
        <w:rPr>
          <w:sz w:val="24"/>
        </w:rPr>
      </w:pPr>
      <w:r w:rsidRPr="00EA6832">
        <w:rPr>
          <w:b/>
          <w:bCs/>
          <w:sz w:val="24"/>
        </w:rPr>
        <w:t>Ikonographie</w:t>
      </w:r>
      <w:r w:rsidR="00EA6832">
        <w:rPr>
          <w:sz w:val="24"/>
        </w:rPr>
        <w:t>:</w:t>
      </w:r>
      <w:r w:rsidR="009703D2">
        <w:rPr>
          <w:sz w:val="24"/>
        </w:rPr>
        <w:t xml:space="preserve"> In den unteren sechs Ädikulen sind Barmherzigkeitsdarstellungen in Szenen mit jeweils zwei Personen gezeigt. Darüber die beiden Johannesfiguren (?). Oben abschließend zwei Engel und Auferstehende. Der Sturz stellt das Gleichnis der klugen und törichten Jungfrauen dar. Im Tympanon ist Christus </w:t>
      </w:r>
      <w:r w:rsidR="00FA532A">
        <w:rPr>
          <w:sz w:val="24"/>
        </w:rPr>
        <w:t>mit Siegesfahne und der heiligen Schrift</w:t>
      </w:r>
      <w:r w:rsidR="009703D2">
        <w:rPr>
          <w:sz w:val="24"/>
        </w:rPr>
        <w:t xml:space="preserve"> gezeigt, neben ihm Petrus und </w:t>
      </w:r>
      <w:r w:rsidR="00FA532A">
        <w:rPr>
          <w:sz w:val="24"/>
        </w:rPr>
        <w:t xml:space="preserve">Paulus. Neben Petrus ist </w:t>
      </w:r>
      <w:r w:rsidR="005355FB">
        <w:rPr>
          <w:sz w:val="24"/>
        </w:rPr>
        <w:t xml:space="preserve">eine Person mit einem Portalmodell gezeigt. Neben Paulus ist eine Frau gezeigt, die durch einen kleinen Engel zu ihm hingeführt wird. </w:t>
      </w:r>
    </w:p>
    <w:p w:rsidR="00D254D4" w:rsidRDefault="0068207E" w:rsidP="00CC09CD">
      <w:pPr>
        <w:pStyle w:val="berschrift3"/>
        <w:spacing w:before="120" w:after="0" w:line="276" w:lineRule="auto"/>
        <w:rPr>
          <w:sz w:val="24"/>
        </w:rPr>
      </w:pPr>
      <w:r w:rsidRPr="00EA6832">
        <w:rPr>
          <w:b/>
          <w:bCs/>
          <w:sz w:val="24"/>
        </w:rPr>
        <w:t>Restaurierung</w:t>
      </w:r>
      <w:r w:rsidR="00AC7962">
        <w:rPr>
          <w:b/>
          <w:bCs/>
          <w:sz w:val="24"/>
        </w:rPr>
        <w:t xml:space="preserve">sgeschichte: </w:t>
      </w:r>
      <w:r w:rsidR="00AC7962" w:rsidRPr="00AC7962">
        <w:rPr>
          <w:sz w:val="24"/>
        </w:rPr>
        <w:t xml:space="preserve">Einige Partien wurden </w:t>
      </w:r>
      <w:r w:rsidR="007F6AE6">
        <w:rPr>
          <w:sz w:val="24"/>
        </w:rPr>
        <w:t xml:space="preserve">im Laufe der Jahre </w:t>
      </w:r>
      <w:r w:rsidR="00AC7962" w:rsidRPr="00AC7962">
        <w:rPr>
          <w:sz w:val="24"/>
        </w:rPr>
        <w:t>überarbeitet bzw. überschliffen (z. B. Gesichter</w:t>
      </w:r>
      <w:r w:rsidR="00AC7962">
        <w:rPr>
          <w:sz w:val="24"/>
        </w:rPr>
        <w:t xml:space="preserve"> des Johannes und Lukas, Hintergrund und Umrandung des Tympanons). Diese Überarbeitungen fanden wahrscheinlich in der zweiten Hälfte des 18. Jh. oder </w:t>
      </w:r>
      <w:r w:rsidR="00D254D4">
        <w:rPr>
          <w:sz w:val="24"/>
        </w:rPr>
        <w:t xml:space="preserve">bei den großen Außenrestaurierungen </w:t>
      </w:r>
      <w:r w:rsidR="00AC7962">
        <w:rPr>
          <w:sz w:val="24"/>
        </w:rPr>
        <w:t>1880-1890</w:t>
      </w:r>
      <w:r w:rsidR="00D254D4">
        <w:rPr>
          <w:sz w:val="24"/>
        </w:rPr>
        <w:t xml:space="preserve"> </w:t>
      </w:r>
      <w:r w:rsidR="00AC7962">
        <w:rPr>
          <w:sz w:val="24"/>
        </w:rPr>
        <w:t xml:space="preserve">statt. In den 1770er Jahren erhielt sie eine barocke Holztür. </w:t>
      </w:r>
      <w:r w:rsidR="00D254D4">
        <w:rPr>
          <w:sz w:val="24"/>
        </w:rPr>
        <w:t xml:space="preserve">Die </w:t>
      </w:r>
      <w:r w:rsidR="007F6AE6">
        <w:rPr>
          <w:sz w:val="24"/>
        </w:rPr>
        <w:t xml:space="preserve">heute noch vorhandene </w:t>
      </w:r>
      <w:r w:rsidR="00D254D4">
        <w:rPr>
          <w:sz w:val="24"/>
        </w:rPr>
        <w:t xml:space="preserve">Bronzetüre wurde im Zuge der Restaurierungen 1892 im neoromanischen Stil eingesetzt. Ebenso wurde die Farbe entfernt, die wahrscheinlich im späten 16. Jahrhundert aufgetragen wurde. Ab 1928 wurde der figürliche Schmuck gefestigt und 1941 gereinigt. Eine umfassende Restaurierung erfuhr die Pforte zuletzt 1988-89, bei der ebenfalls </w:t>
      </w:r>
      <w:proofErr w:type="spellStart"/>
      <w:r w:rsidR="00D254D4">
        <w:rPr>
          <w:sz w:val="24"/>
        </w:rPr>
        <w:t>Tabernakelsäulchen</w:t>
      </w:r>
      <w:proofErr w:type="spellEnd"/>
      <w:r w:rsidR="00D254D4">
        <w:rPr>
          <w:sz w:val="24"/>
        </w:rPr>
        <w:t xml:space="preserve"> aus dem 19. Jh. durch Originalteile ersetzt wurden. </w:t>
      </w:r>
      <w:r w:rsidR="007F6AE6">
        <w:rPr>
          <w:sz w:val="24"/>
        </w:rPr>
        <w:t xml:space="preserve">Insgesamt ist sie in einem sehr guten Zustand und hat nur </w:t>
      </w:r>
      <w:r w:rsidR="00A65D58">
        <w:rPr>
          <w:sz w:val="24"/>
        </w:rPr>
        <w:t>wenige</w:t>
      </w:r>
      <w:r w:rsidR="007F6AE6">
        <w:rPr>
          <w:sz w:val="24"/>
        </w:rPr>
        <w:t xml:space="preserve"> Veränderungen erfahren müssen. </w:t>
      </w:r>
    </w:p>
    <w:p w:rsidR="0068207E" w:rsidRPr="00EA6832" w:rsidRDefault="0068207E" w:rsidP="00CC09CD">
      <w:pPr>
        <w:pStyle w:val="berschrift3"/>
        <w:spacing w:before="120" w:after="0" w:line="276" w:lineRule="auto"/>
        <w:rPr>
          <w:sz w:val="24"/>
        </w:rPr>
      </w:pPr>
      <w:r w:rsidRPr="00EA6832">
        <w:rPr>
          <w:b/>
          <w:bCs/>
          <w:sz w:val="24"/>
        </w:rPr>
        <w:t>Stilistischer Zusammenhang</w:t>
      </w:r>
      <w:r w:rsidR="00EA6832">
        <w:rPr>
          <w:sz w:val="24"/>
        </w:rPr>
        <w:t xml:space="preserve">: </w:t>
      </w:r>
      <w:r w:rsidR="000B1CF5">
        <w:rPr>
          <w:sz w:val="24"/>
        </w:rPr>
        <w:t xml:space="preserve">Basel kann weder in eine vereinfacht lineare Reihe von Entwicklungen der in Frankreich beginnenden Figurenportale gebracht werden, noch ist es selbst Zentrum einer Vorlage. </w:t>
      </w:r>
      <w:r w:rsidR="00423540">
        <w:rPr>
          <w:sz w:val="24"/>
        </w:rPr>
        <w:t xml:space="preserve">Es lässt sich allerdings einer Gruppe von Portalen der zweiten Hälfte des 12. Jahrhunderts zuordnen, die im </w:t>
      </w:r>
      <w:r w:rsidR="00DD4C50">
        <w:rPr>
          <w:sz w:val="24"/>
        </w:rPr>
        <w:t xml:space="preserve">Ober- und Hochrheingebiet zu finden sind. </w:t>
      </w:r>
    </w:p>
    <w:p w:rsidR="0068207E" w:rsidRPr="00EA6832" w:rsidRDefault="0068207E" w:rsidP="00CC09CD">
      <w:pPr>
        <w:pStyle w:val="berschrift3"/>
        <w:spacing w:before="120" w:after="0" w:line="276" w:lineRule="auto"/>
        <w:rPr>
          <w:sz w:val="24"/>
        </w:rPr>
      </w:pPr>
      <w:r w:rsidRPr="00EA6832">
        <w:rPr>
          <w:b/>
          <w:bCs/>
          <w:sz w:val="24"/>
        </w:rPr>
        <w:t>Polychromie</w:t>
      </w:r>
      <w:r w:rsidR="00EA6832">
        <w:rPr>
          <w:sz w:val="24"/>
        </w:rPr>
        <w:t xml:space="preserve">: </w:t>
      </w:r>
      <w:r w:rsidR="003E3AAA">
        <w:rPr>
          <w:sz w:val="24"/>
        </w:rPr>
        <w:t xml:space="preserve">Reste von vier Fassungen wurden gefunden: Bei der ersten Fassung kann man nicht sicher sein, ob sie nur eine Teilfassung war. Die zweite Fassung war teilweise über der ersten </w:t>
      </w:r>
      <w:r w:rsidR="00392807">
        <w:rPr>
          <w:sz w:val="24"/>
        </w:rPr>
        <w:t xml:space="preserve">Fassung </w:t>
      </w:r>
      <w:r w:rsidR="003E3AAA">
        <w:rPr>
          <w:sz w:val="24"/>
        </w:rPr>
        <w:t xml:space="preserve">aber auch direkt auf dem Stein. </w:t>
      </w:r>
      <w:r w:rsidR="00392807">
        <w:rPr>
          <w:sz w:val="24"/>
        </w:rPr>
        <w:t>Sowohl die</w:t>
      </w:r>
      <w:r w:rsidR="003E3AAA">
        <w:rPr>
          <w:sz w:val="24"/>
        </w:rPr>
        <w:t xml:space="preserve"> dritte </w:t>
      </w:r>
      <w:r w:rsidR="00392807">
        <w:rPr>
          <w:sz w:val="24"/>
        </w:rPr>
        <w:t>als auch die</w:t>
      </w:r>
      <w:r w:rsidR="003E3AAA">
        <w:rPr>
          <w:sz w:val="24"/>
        </w:rPr>
        <w:t xml:space="preserve"> vierte Fassung </w:t>
      </w:r>
      <w:r w:rsidR="00392807">
        <w:rPr>
          <w:sz w:val="24"/>
        </w:rPr>
        <w:t>war</w:t>
      </w:r>
      <w:r w:rsidR="003E3AAA">
        <w:rPr>
          <w:sz w:val="24"/>
        </w:rPr>
        <w:t xml:space="preserve"> monochromatisch.</w:t>
      </w:r>
    </w:p>
    <w:p w:rsidR="00DE5437" w:rsidRPr="00DB3F82" w:rsidRDefault="0068207E" w:rsidP="00DB3F82">
      <w:pPr>
        <w:pStyle w:val="berschrift3"/>
        <w:spacing w:before="120" w:after="0" w:line="276" w:lineRule="auto"/>
        <w:rPr>
          <w:sz w:val="24"/>
        </w:rPr>
      </w:pPr>
      <w:r w:rsidRPr="00EA6832">
        <w:rPr>
          <w:b/>
          <w:bCs/>
          <w:sz w:val="24"/>
        </w:rPr>
        <w:t>Literatur</w:t>
      </w:r>
      <w:r w:rsidR="00EA6832">
        <w:rPr>
          <w:sz w:val="24"/>
        </w:rPr>
        <w:t>:</w:t>
      </w:r>
      <w:r w:rsidR="00DB3F82">
        <w:rPr>
          <w:sz w:val="24"/>
        </w:rPr>
        <w:t xml:space="preserve"> </w:t>
      </w:r>
      <w:r w:rsidR="00E76440">
        <w:rPr>
          <w:sz w:val="24"/>
        </w:rPr>
        <w:t>Meier, Hans-Rudolf / Schwinn Schürmann, Dorothea (Hrsg.):</w:t>
      </w:r>
      <w:r w:rsidR="00DB3F82">
        <w:rPr>
          <w:sz w:val="24"/>
        </w:rPr>
        <w:t xml:space="preserve"> Schwelle zum Paradies</w:t>
      </w:r>
      <w:r w:rsidR="00CB4E7D">
        <w:rPr>
          <w:sz w:val="24"/>
        </w:rPr>
        <w:t>. Die Galluspforte des Basler Münsters</w:t>
      </w:r>
      <w:r w:rsidR="00E76440">
        <w:rPr>
          <w:sz w:val="24"/>
        </w:rPr>
        <w:t>, Basel 2002.</w:t>
      </w:r>
    </w:p>
    <w:sectPr w:rsidR="00DE5437" w:rsidRPr="00DB3F82" w:rsidSect="00AB46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7E"/>
    <w:rsid w:val="000B1CF5"/>
    <w:rsid w:val="000B2021"/>
    <w:rsid w:val="000B6FBB"/>
    <w:rsid w:val="000E1420"/>
    <w:rsid w:val="00143754"/>
    <w:rsid w:val="0025126B"/>
    <w:rsid w:val="002D13B8"/>
    <w:rsid w:val="00390F39"/>
    <w:rsid w:val="00392807"/>
    <w:rsid w:val="003E3AAA"/>
    <w:rsid w:val="00423540"/>
    <w:rsid w:val="004D5895"/>
    <w:rsid w:val="0052149A"/>
    <w:rsid w:val="00524A6E"/>
    <w:rsid w:val="00531EED"/>
    <w:rsid w:val="00532C84"/>
    <w:rsid w:val="005355FB"/>
    <w:rsid w:val="0054384C"/>
    <w:rsid w:val="005D3C0A"/>
    <w:rsid w:val="0068207E"/>
    <w:rsid w:val="006A5BC4"/>
    <w:rsid w:val="0070397A"/>
    <w:rsid w:val="00794E8F"/>
    <w:rsid w:val="007F6AE6"/>
    <w:rsid w:val="00922F3D"/>
    <w:rsid w:val="009431CD"/>
    <w:rsid w:val="009703D2"/>
    <w:rsid w:val="009F6E54"/>
    <w:rsid w:val="00A65D58"/>
    <w:rsid w:val="00A93992"/>
    <w:rsid w:val="00AB4670"/>
    <w:rsid w:val="00AC7962"/>
    <w:rsid w:val="00AE5FC5"/>
    <w:rsid w:val="00B30210"/>
    <w:rsid w:val="00B354D8"/>
    <w:rsid w:val="00BB2BBA"/>
    <w:rsid w:val="00C37636"/>
    <w:rsid w:val="00CB4E7D"/>
    <w:rsid w:val="00CC09CD"/>
    <w:rsid w:val="00CC15AA"/>
    <w:rsid w:val="00CF28F0"/>
    <w:rsid w:val="00D254D4"/>
    <w:rsid w:val="00DB3F82"/>
    <w:rsid w:val="00DD4C50"/>
    <w:rsid w:val="00DE5437"/>
    <w:rsid w:val="00E76440"/>
    <w:rsid w:val="00EA6832"/>
    <w:rsid w:val="00FA5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75434-2119-BF46-BB1E-0E5C78D5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207E"/>
    <w:pPr>
      <w:spacing w:after="160" w:line="259" w:lineRule="auto"/>
    </w:pPr>
    <w:rPr>
      <w:sz w:val="22"/>
      <w:szCs w:val="22"/>
    </w:rPr>
  </w:style>
  <w:style w:type="paragraph" w:styleId="berschrift1">
    <w:name w:val="heading 1"/>
    <w:basedOn w:val="Standard"/>
    <w:next w:val="Standard"/>
    <w:link w:val="berschrift1Zchn"/>
    <w:uiPriority w:val="9"/>
    <w:qFormat/>
    <w:rsid w:val="00BB2BBA"/>
    <w:pPr>
      <w:keepNext/>
      <w:keepLines/>
      <w:spacing w:before="360" w:after="120" w:line="360" w:lineRule="auto"/>
      <w:jc w:val="both"/>
      <w:outlineLvl w:val="0"/>
    </w:pPr>
    <w:rPr>
      <w:rFonts w:ascii="Times New Roman" w:eastAsiaTheme="majorEastAsia" w:hAnsi="Times New Roman" w:cstheme="majorBidi"/>
      <w:color w:val="000000" w:themeColor="text1"/>
      <w:sz w:val="32"/>
      <w:szCs w:val="32"/>
    </w:rPr>
  </w:style>
  <w:style w:type="paragraph" w:styleId="berschrift2">
    <w:name w:val="heading 2"/>
    <w:basedOn w:val="Standard"/>
    <w:next w:val="Standard"/>
    <w:link w:val="berschrift2Zchn"/>
    <w:uiPriority w:val="9"/>
    <w:unhideWhenUsed/>
    <w:qFormat/>
    <w:rsid w:val="00BB2BBA"/>
    <w:pPr>
      <w:keepNext/>
      <w:keepLines/>
      <w:spacing w:before="160" w:after="120" w:line="360" w:lineRule="auto"/>
      <w:jc w:val="both"/>
      <w:outlineLvl w:val="1"/>
    </w:pPr>
    <w:rPr>
      <w:rFonts w:ascii="Times New Roman" w:eastAsiaTheme="majorEastAsia" w:hAnsi="Times New Roman" w:cstheme="majorBidi"/>
      <w:color w:val="000000" w:themeColor="text1"/>
      <w:sz w:val="28"/>
      <w:szCs w:val="26"/>
    </w:rPr>
  </w:style>
  <w:style w:type="paragraph" w:styleId="berschrift3">
    <w:name w:val="heading 3"/>
    <w:basedOn w:val="Standard"/>
    <w:next w:val="Standard"/>
    <w:link w:val="berschrift3Zchn"/>
    <w:uiPriority w:val="9"/>
    <w:unhideWhenUsed/>
    <w:qFormat/>
    <w:rsid w:val="00BB2BBA"/>
    <w:pPr>
      <w:keepNext/>
      <w:keepLines/>
      <w:spacing w:before="160" w:after="120" w:line="360" w:lineRule="auto"/>
      <w:jc w:val="both"/>
      <w:outlineLvl w:val="2"/>
    </w:pPr>
    <w:rPr>
      <w:rFonts w:ascii="Times New Roman" w:eastAsiaTheme="majorEastAsia" w:hAnsi="Times New Roman" w:cstheme="majorBidi"/>
      <w:color w:val="000000" w:themeColor="text1"/>
      <w:sz w:val="26"/>
      <w:szCs w:val="24"/>
    </w:rPr>
  </w:style>
  <w:style w:type="paragraph" w:styleId="berschrift4">
    <w:name w:val="heading 4"/>
    <w:basedOn w:val="Standard"/>
    <w:next w:val="Standard"/>
    <w:link w:val="berschrift4Zchn"/>
    <w:uiPriority w:val="9"/>
    <w:unhideWhenUsed/>
    <w:qFormat/>
    <w:rsid w:val="00BB2BBA"/>
    <w:pPr>
      <w:keepNext/>
      <w:keepLines/>
      <w:spacing w:before="40" w:after="0" w:line="360" w:lineRule="auto"/>
      <w:jc w:val="both"/>
      <w:outlineLvl w:val="3"/>
    </w:pPr>
    <w:rPr>
      <w:rFonts w:eastAsiaTheme="majorEastAsia" w:cstheme="majorBidi"/>
      <w:i/>
      <w:iCs/>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n">
    <w:name w:val="Fußnoten"/>
    <w:basedOn w:val="Standard"/>
    <w:qFormat/>
    <w:rsid w:val="00BB2BBA"/>
    <w:pPr>
      <w:spacing w:after="0" w:line="240" w:lineRule="auto"/>
      <w:jc w:val="both"/>
    </w:pPr>
    <w:rPr>
      <w:rFonts w:ascii="Times New Roman" w:hAnsi="Times New Roman"/>
      <w:sz w:val="20"/>
      <w:szCs w:val="24"/>
    </w:rPr>
  </w:style>
  <w:style w:type="character" w:customStyle="1" w:styleId="berschrift1Zchn">
    <w:name w:val="Überschrift 1 Zchn"/>
    <w:basedOn w:val="Absatz-Standardschriftart"/>
    <w:link w:val="berschrift1"/>
    <w:uiPriority w:val="9"/>
    <w:qFormat/>
    <w:rsid w:val="00BB2BBA"/>
    <w:rPr>
      <w:rFonts w:ascii="Times New Roman" w:eastAsiaTheme="majorEastAsia" w:hAnsi="Times New Roman" w:cstheme="majorBidi"/>
      <w:color w:val="000000" w:themeColor="text1"/>
      <w:sz w:val="32"/>
      <w:szCs w:val="32"/>
    </w:rPr>
  </w:style>
  <w:style w:type="character" w:customStyle="1" w:styleId="berschrift2Zchn">
    <w:name w:val="Überschrift 2 Zchn"/>
    <w:basedOn w:val="Absatz-Standardschriftart"/>
    <w:link w:val="berschrift2"/>
    <w:uiPriority w:val="9"/>
    <w:rsid w:val="00BB2BBA"/>
    <w:rPr>
      <w:rFonts w:ascii="Times New Roman" w:eastAsiaTheme="majorEastAsia" w:hAnsi="Times New Roman" w:cstheme="majorBidi"/>
      <w:color w:val="000000" w:themeColor="text1"/>
      <w:sz w:val="28"/>
      <w:szCs w:val="26"/>
    </w:rPr>
  </w:style>
  <w:style w:type="character" w:customStyle="1" w:styleId="berschrift3Zchn">
    <w:name w:val="Überschrift 3 Zchn"/>
    <w:basedOn w:val="Absatz-Standardschriftart"/>
    <w:link w:val="berschrift3"/>
    <w:uiPriority w:val="9"/>
    <w:qFormat/>
    <w:rsid w:val="00BB2BBA"/>
    <w:rPr>
      <w:rFonts w:ascii="Times New Roman" w:eastAsiaTheme="majorEastAsia" w:hAnsi="Times New Roman" w:cstheme="majorBidi"/>
      <w:color w:val="000000" w:themeColor="text1"/>
      <w:sz w:val="26"/>
    </w:rPr>
  </w:style>
  <w:style w:type="character" w:customStyle="1" w:styleId="berschrift4Zchn">
    <w:name w:val="Überschrift 4 Zchn"/>
    <w:basedOn w:val="Absatz-Standardschriftart"/>
    <w:link w:val="berschrift4"/>
    <w:uiPriority w:val="9"/>
    <w:rsid w:val="00BB2BBA"/>
    <w:rPr>
      <w:rFonts w:eastAsiaTheme="majorEastAsia" w:cstheme="majorBidi"/>
      <w:i/>
      <w:iCs/>
      <w:color w:val="000000" w:themeColor="text1"/>
    </w:rPr>
  </w:style>
  <w:style w:type="paragraph" w:styleId="Listenabsatz">
    <w:name w:val="List Paragraph"/>
    <w:basedOn w:val="Standard"/>
    <w:uiPriority w:val="34"/>
    <w:qFormat/>
    <w:rsid w:val="00BB2BBA"/>
    <w:pPr>
      <w:spacing w:after="0" w:line="360" w:lineRule="auto"/>
      <w:ind w:left="720"/>
      <w:contextualSpacing/>
      <w:jc w:val="both"/>
    </w:pPr>
    <w:rPr>
      <w:sz w:val="24"/>
      <w:szCs w:val="24"/>
    </w:rPr>
  </w:style>
  <w:style w:type="paragraph" w:styleId="Inhaltsverzeichnisberschrift">
    <w:name w:val="TOC Heading"/>
    <w:basedOn w:val="berschrift1"/>
    <w:next w:val="Standard"/>
    <w:uiPriority w:val="39"/>
    <w:unhideWhenUsed/>
    <w:qFormat/>
    <w:rsid w:val="00BB2BBA"/>
    <w:pPr>
      <w:spacing w:before="480" w:line="276" w:lineRule="auto"/>
      <w:outlineLvl w:val="9"/>
    </w:pPr>
    <w:rPr>
      <w:rFonts w:asciiTheme="majorHAnsi" w:hAnsiTheme="majorHAnsi"/>
      <w:b/>
      <w:bCs/>
      <w:color w:val="2F5496" w:themeColor="accent1" w:themeShade="BF"/>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Hirschfelder</dc:creator>
  <cp:keywords/>
  <dc:description/>
  <cp:lastModifiedBy>Albrecht, Stephan</cp:lastModifiedBy>
  <cp:revision>2</cp:revision>
  <dcterms:created xsi:type="dcterms:W3CDTF">2020-11-10T15:21:00Z</dcterms:created>
  <dcterms:modified xsi:type="dcterms:W3CDTF">2020-11-10T15:21:00Z</dcterms:modified>
</cp:coreProperties>
</file>